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39A6">
      <w:pPr>
        <w:rPr>
          <w:rFonts w:ascii="仿宋" w:hAnsi="仿宋" w:eastAsia="仿宋"/>
          <w:sz w:val="32"/>
          <w:szCs w:val="32"/>
        </w:rPr>
      </w:pPr>
      <w:r>
        <w:rPr>
          <w:rFonts w:hint="eastAsia" w:ascii="仿宋" w:hAnsi="仿宋" w:eastAsia="仿宋"/>
          <w:sz w:val="32"/>
          <w:szCs w:val="32"/>
        </w:rPr>
        <w:t>附件1：</w:t>
      </w:r>
    </w:p>
    <w:p w14:paraId="14455349">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南昌大学第四届江西省大学生职业规划大赛赛事服务采购项目需求书</w:t>
      </w:r>
    </w:p>
    <w:p w14:paraId="124BFE16">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（征集意见稿）</w:t>
      </w:r>
    </w:p>
    <w:p w14:paraId="27700232">
      <w:pPr>
        <w:jc w:val="center"/>
        <w:rPr>
          <w:rFonts w:ascii="仿宋" w:hAnsi="仿宋" w:eastAsia="仿宋"/>
          <w:b/>
          <w:sz w:val="32"/>
          <w:szCs w:val="32"/>
        </w:rPr>
      </w:pPr>
    </w:p>
    <w:p w14:paraId="1C06E261">
      <w:pPr>
        <w:rPr>
          <w:rFonts w:ascii="仿宋" w:hAnsi="仿宋" w:eastAsia="仿宋"/>
          <w:bCs/>
          <w:sz w:val="32"/>
          <w:szCs w:val="32"/>
        </w:rPr>
      </w:pPr>
      <w:r>
        <w:rPr>
          <w:rFonts w:hint="eastAsia" w:ascii="仿宋" w:hAnsi="仿宋" w:eastAsia="仿宋"/>
          <w:b/>
          <w:bCs/>
          <w:sz w:val="32"/>
          <w:szCs w:val="32"/>
        </w:rPr>
        <w:t>一、项目概述</w:t>
      </w:r>
    </w:p>
    <w:p w14:paraId="41FA1E0E">
      <w:pPr>
        <w:pStyle w:val="6"/>
      </w:pPr>
      <w:r>
        <w:rPr>
          <w:rFonts w:hint="eastAsia"/>
        </w:rPr>
        <w:t>具体情况如下:</w:t>
      </w:r>
    </w:p>
    <w:tbl>
      <w:tblPr>
        <w:tblStyle w:val="13"/>
        <w:tblW w:w="4759" w:type="pct"/>
        <w:jc w:val="center"/>
        <w:shd w:val="clear" w:color="auto" w:fill="FFFFFF"/>
        <w:tblLayout w:type="autofit"/>
        <w:tblCellMar>
          <w:top w:w="0" w:type="dxa"/>
          <w:left w:w="0" w:type="dxa"/>
          <w:bottom w:w="0" w:type="dxa"/>
          <w:right w:w="0" w:type="dxa"/>
        </w:tblCellMar>
      </w:tblPr>
      <w:tblGrid>
        <w:gridCol w:w="555"/>
        <w:gridCol w:w="1821"/>
        <w:gridCol w:w="2073"/>
        <w:gridCol w:w="3578"/>
      </w:tblGrid>
      <w:tr w14:paraId="274269DE">
        <w:tblPrEx>
          <w:shd w:val="clear" w:color="auto" w:fill="FFFFFF"/>
          <w:tblCellMar>
            <w:top w:w="0" w:type="dxa"/>
            <w:left w:w="0" w:type="dxa"/>
            <w:bottom w:w="0" w:type="dxa"/>
            <w:right w:w="0" w:type="dxa"/>
          </w:tblCellMar>
        </w:tblPrEx>
        <w:trPr>
          <w:trHeight w:val="480" w:hRule="atLeast"/>
          <w:jc w:val="center"/>
        </w:trPr>
        <w:tc>
          <w:tcPr>
            <w:tcW w:w="34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C70A195">
            <w:pPr>
              <w:widowControl/>
              <w:jc w:val="center"/>
              <w:textAlignment w:val="center"/>
              <w:rPr>
                <w:rFonts w:ascii="仿宋" w:hAnsi="仿宋" w:eastAsia="仿宋"/>
                <w:color w:val="000000"/>
                <w:sz w:val="24"/>
              </w:rPr>
            </w:pPr>
            <w:r>
              <w:rPr>
                <w:rFonts w:hint="eastAsia" w:ascii="仿宋" w:hAnsi="仿宋" w:eastAsia="仿宋"/>
                <w:sz w:val="24"/>
              </w:rPr>
              <w:t>序号</w:t>
            </w:r>
          </w:p>
        </w:tc>
        <w:tc>
          <w:tcPr>
            <w:tcW w:w="11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1D5ED9">
            <w:pPr>
              <w:widowControl/>
              <w:jc w:val="center"/>
              <w:textAlignment w:val="center"/>
              <w:rPr>
                <w:rFonts w:ascii="仿宋" w:hAnsi="仿宋" w:eastAsia="仿宋"/>
                <w:color w:val="000000"/>
                <w:sz w:val="24"/>
              </w:rPr>
            </w:pPr>
            <w:r>
              <w:rPr>
                <w:rFonts w:hint="eastAsia" w:ascii="仿宋" w:hAnsi="仿宋" w:eastAsia="仿宋"/>
                <w:color w:val="000000"/>
                <w:sz w:val="24"/>
              </w:rPr>
              <w:t>采购项目名称</w:t>
            </w:r>
          </w:p>
        </w:tc>
        <w:tc>
          <w:tcPr>
            <w:tcW w:w="1291" w:type="pct"/>
            <w:tcBorders>
              <w:top w:val="single" w:color="333333" w:sz="6" w:space="0"/>
              <w:left w:val="single" w:color="333333" w:sz="6" w:space="0"/>
              <w:bottom w:val="single" w:color="333333" w:sz="6" w:space="0"/>
              <w:right w:val="single" w:color="auto" w:sz="4" w:space="0"/>
            </w:tcBorders>
            <w:shd w:val="clear" w:color="auto" w:fill="FFFFFF"/>
            <w:tcMar>
              <w:top w:w="75" w:type="dxa"/>
              <w:left w:w="120" w:type="dxa"/>
              <w:bottom w:w="75" w:type="dxa"/>
              <w:right w:w="120" w:type="dxa"/>
            </w:tcMar>
            <w:vAlign w:val="center"/>
          </w:tcPr>
          <w:p w14:paraId="4158E357">
            <w:pPr>
              <w:widowControl/>
              <w:jc w:val="center"/>
              <w:textAlignment w:val="center"/>
              <w:rPr>
                <w:rFonts w:ascii="仿宋" w:hAnsi="仿宋" w:eastAsia="仿宋"/>
                <w:color w:val="000000"/>
                <w:sz w:val="24"/>
              </w:rPr>
            </w:pPr>
            <w:r>
              <w:rPr>
                <w:rFonts w:ascii="仿宋" w:hAnsi="仿宋" w:eastAsia="仿宋"/>
                <w:color w:val="000000"/>
                <w:sz w:val="24"/>
              </w:rPr>
              <w:t>预算金额（</w:t>
            </w:r>
            <w:r>
              <w:rPr>
                <w:rFonts w:hint="eastAsia" w:ascii="仿宋" w:hAnsi="仿宋" w:eastAsia="仿宋"/>
                <w:color w:val="000000"/>
                <w:sz w:val="24"/>
              </w:rPr>
              <w:t>单位：元）</w:t>
            </w:r>
          </w:p>
        </w:tc>
        <w:tc>
          <w:tcPr>
            <w:tcW w:w="2229" w:type="pct"/>
            <w:tcBorders>
              <w:top w:val="single" w:color="333333" w:sz="6" w:space="0"/>
              <w:left w:val="single" w:color="auto" w:sz="4" w:space="0"/>
              <w:bottom w:val="single" w:color="333333" w:sz="6" w:space="0"/>
              <w:right w:val="single" w:color="333333" w:sz="6" w:space="0"/>
            </w:tcBorders>
            <w:shd w:val="clear" w:color="auto" w:fill="FFFFFF"/>
            <w:vAlign w:val="center"/>
          </w:tcPr>
          <w:p w14:paraId="659A061E">
            <w:pPr>
              <w:jc w:val="center"/>
              <w:textAlignment w:val="center"/>
              <w:rPr>
                <w:rFonts w:ascii="仿宋" w:hAnsi="仿宋" w:eastAsia="仿宋"/>
                <w:color w:val="000000"/>
                <w:sz w:val="24"/>
              </w:rPr>
            </w:pPr>
            <w:r>
              <w:rPr>
                <w:rFonts w:hint="eastAsia" w:ascii="仿宋" w:hAnsi="仿宋" w:eastAsia="仿宋"/>
                <w:color w:val="000000"/>
                <w:sz w:val="24"/>
              </w:rPr>
              <w:t>采购需求概况</w:t>
            </w:r>
          </w:p>
        </w:tc>
      </w:tr>
      <w:tr w14:paraId="0E46CCDB">
        <w:tblPrEx>
          <w:shd w:val="clear" w:color="auto" w:fill="FFFFFF"/>
          <w:tblCellMar>
            <w:top w:w="0" w:type="dxa"/>
            <w:left w:w="0" w:type="dxa"/>
            <w:bottom w:w="0" w:type="dxa"/>
            <w:right w:w="0" w:type="dxa"/>
          </w:tblCellMar>
        </w:tblPrEx>
        <w:trPr>
          <w:trHeight w:val="90" w:hRule="atLeast"/>
          <w:jc w:val="center"/>
        </w:trPr>
        <w:tc>
          <w:tcPr>
            <w:tcW w:w="34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4DF032">
            <w:pPr>
              <w:widowControl/>
              <w:jc w:val="center"/>
              <w:textAlignment w:val="center"/>
              <w:rPr>
                <w:rFonts w:ascii="仿宋" w:hAnsi="仿宋" w:eastAsia="仿宋"/>
                <w:color w:val="000000"/>
                <w:sz w:val="24"/>
              </w:rPr>
            </w:pPr>
            <w:r>
              <w:rPr>
                <w:rFonts w:hint="eastAsia" w:ascii="仿宋" w:hAnsi="仿宋" w:eastAsia="仿宋"/>
                <w:sz w:val="24"/>
              </w:rPr>
              <w:t>1</w:t>
            </w:r>
          </w:p>
        </w:tc>
        <w:tc>
          <w:tcPr>
            <w:tcW w:w="11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B8950BF">
            <w:pPr>
              <w:widowControl/>
              <w:jc w:val="center"/>
              <w:textAlignment w:val="center"/>
              <w:rPr>
                <w:rFonts w:ascii="仿宋" w:hAnsi="仿宋" w:eastAsia="仿宋"/>
                <w:color w:val="000000"/>
                <w:sz w:val="24"/>
              </w:rPr>
            </w:pPr>
            <w:r>
              <w:rPr>
                <w:rFonts w:hint="eastAsia" w:ascii="仿宋" w:hAnsi="仿宋" w:eastAsia="仿宋"/>
                <w:color w:val="000000"/>
                <w:sz w:val="24"/>
              </w:rPr>
              <w:t>南昌大学第四届江西省大学生职业规划大赛赛事服务采购项目</w:t>
            </w:r>
          </w:p>
        </w:tc>
        <w:tc>
          <w:tcPr>
            <w:tcW w:w="1291" w:type="pct"/>
            <w:tcBorders>
              <w:top w:val="single" w:color="333333" w:sz="6" w:space="0"/>
              <w:left w:val="single" w:color="333333" w:sz="6" w:space="0"/>
              <w:bottom w:val="single" w:color="333333" w:sz="6" w:space="0"/>
              <w:right w:val="single" w:color="auto" w:sz="4" w:space="0"/>
            </w:tcBorders>
            <w:shd w:val="clear" w:color="auto" w:fill="FFFFFF"/>
            <w:tcMar>
              <w:top w:w="75" w:type="dxa"/>
              <w:left w:w="120" w:type="dxa"/>
              <w:bottom w:w="75" w:type="dxa"/>
              <w:right w:w="120" w:type="dxa"/>
            </w:tcMar>
            <w:vAlign w:val="center"/>
          </w:tcPr>
          <w:p w14:paraId="134370F1">
            <w:pPr>
              <w:widowControl/>
              <w:textAlignment w:val="center"/>
              <w:rPr>
                <w:rFonts w:ascii="仿宋" w:hAnsi="仿宋" w:eastAsia="仿宋"/>
                <w:color w:val="000000"/>
                <w:sz w:val="24"/>
              </w:rPr>
            </w:pPr>
            <w:r>
              <w:rPr>
                <w:rFonts w:hint="eastAsia" w:ascii="仿宋" w:hAnsi="仿宋" w:eastAsia="仿宋"/>
                <w:color w:val="000000"/>
                <w:sz w:val="24"/>
              </w:rPr>
              <w:t>669000</w:t>
            </w:r>
          </w:p>
        </w:tc>
        <w:tc>
          <w:tcPr>
            <w:tcW w:w="2229" w:type="pct"/>
            <w:tcBorders>
              <w:top w:val="single" w:color="333333" w:sz="6" w:space="0"/>
              <w:left w:val="single" w:color="auto" w:sz="4" w:space="0"/>
              <w:bottom w:val="single" w:color="333333" w:sz="6" w:space="0"/>
              <w:right w:val="single" w:color="333333" w:sz="6" w:space="0"/>
            </w:tcBorders>
            <w:shd w:val="clear" w:color="auto" w:fill="FFFFFF"/>
            <w:vAlign w:val="center"/>
          </w:tcPr>
          <w:p w14:paraId="5D0FF130">
            <w:pPr>
              <w:widowControl/>
              <w:textAlignment w:val="center"/>
              <w:rPr>
                <w:rFonts w:ascii="仿宋" w:hAnsi="仿宋" w:eastAsia="仿宋"/>
                <w:color w:val="000000"/>
                <w:sz w:val="24"/>
              </w:rPr>
            </w:pPr>
            <w:r>
              <w:rPr>
                <w:rFonts w:hint="eastAsia" w:ascii="仿宋" w:hAnsi="仿宋" w:eastAsia="仿宋"/>
                <w:color w:val="000000"/>
                <w:sz w:val="24"/>
              </w:rPr>
              <w:t>主体赛事服务；颁奖晚会服务；同期活动服务；比赛物料。</w:t>
            </w:r>
          </w:p>
        </w:tc>
      </w:tr>
    </w:tbl>
    <w:p w14:paraId="6F91642B">
      <w:pPr>
        <w:rPr>
          <w:rFonts w:ascii="仿宋" w:hAnsi="仿宋" w:eastAsia="仿宋"/>
          <w:sz w:val="32"/>
          <w:szCs w:val="32"/>
        </w:rPr>
      </w:pPr>
    </w:p>
    <w:p w14:paraId="21350237">
      <w:r>
        <w:rPr>
          <w:rFonts w:hint="eastAsia" w:ascii="仿宋" w:hAnsi="仿宋" w:eastAsia="仿宋"/>
          <w:b/>
          <w:bCs/>
          <w:sz w:val="32"/>
          <w:szCs w:val="32"/>
        </w:rPr>
        <w:t>二、采购清单</w:t>
      </w:r>
    </w:p>
    <w:p w14:paraId="18F9F1C4">
      <w:pPr>
        <w:pStyle w:val="6"/>
      </w:pPr>
      <w:r>
        <w:rPr>
          <w:rFonts w:hint="eastAsia"/>
        </w:rPr>
        <w:t>服务：</w:t>
      </w:r>
    </w:p>
    <w:tbl>
      <w:tblPr>
        <w:tblStyle w:val="13"/>
        <w:tblpPr w:leftFromText="180" w:rightFromText="180" w:vertAnchor="text" w:horzAnchor="margin" w:tblpX="250" w:tblpY="267"/>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1559"/>
        <w:gridCol w:w="4428"/>
      </w:tblGrid>
      <w:tr w14:paraId="3F93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14:paraId="5925CA32">
            <w:pPr>
              <w:widowControl/>
              <w:jc w:val="center"/>
              <w:textAlignment w:val="center"/>
              <w:rPr>
                <w:rFonts w:ascii="仿宋" w:hAnsi="仿宋" w:eastAsia="仿宋"/>
                <w:sz w:val="24"/>
              </w:rPr>
            </w:pPr>
            <w:r>
              <w:rPr>
                <w:rFonts w:hint="eastAsia" w:ascii="仿宋" w:hAnsi="仿宋" w:eastAsia="仿宋"/>
                <w:sz w:val="24"/>
              </w:rPr>
              <w:t>序号</w:t>
            </w:r>
          </w:p>
        </w:tc>
        <w:tc>
          <w:tcPr>
            <w:tcW w:w="1559" w:type="dxa"/>
            <w:vAlign w:val="center"/>
          </w:tcPr>
          <w:p w14:paraId="5FD48663">
            <w:pPr>
              <w:pStyle w:val="6"/>
              <w:jc w:val="center"/>
            </w:pPr>
            <w:r>
              <w:rPr>
                <w:rFonts w:hint="eastAsia"/>
              </w:rPr>
              <w:t>服务名称</w:t>
            </w:r>
          </w:p>
        </w:tc>
        <w:tc>
          <w:tcPr>
            <w:tcW w:w="1559" w:type="dxa"/>
            <w:vAlign w:val="center"/>
          </w:tcPr>
          <w:p w14:paraId="05C4BE6C">
            <w:pPr>
              <w:pStyle w:val="6"/>
              <w:jc w:val="center"/>
            </w:pPr>
            <w:r>
              <w:rPr>
                <w:rFonts w:hint="eastAsia"/>
              </w:rPr>
              <w:t>服务期限</w:t>
            </w:r>
          </w:p>
        </w:tc>
        <w:tc>
          <w:tcPr>
            <w:tcW w:w="4428" w:type="dxa"/>
            <w:vAlign w:val="center"/>
          </w:tcPr>
          <w:p w14:paraId="58FB2B00">
            <w:pPr>
              <w:pStyle w:val="6"/>
              <w:jc w:val="center"/>
            </w:pPr>
            <w:r>
              <w:rPr>
                <w:rFonts w:hint="eastAsia"/>
              </w:rPr>
              <w:t>服务要求</w:t>
            </w:r>
          </w:p>
        </w:tc>
      </w:tr>
      <w:tr w14:paraId="0482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14:paraId="0D903F93">
            <w:pPr>
              <w:widowControl/>
              <w:jc w:val="center"/>
              <w:textAlignment w:val="center"/>
              <w:rPr>
                <w:rFonts w:ascii="仿宋" w:hAnsi="仿宋" w:eastAsia="仿宋"/>
                <w:sz w:val="24"/>
              </w:rPr>
            </w:pPr>
            <w:r>
              <w:rPr>
                <w:rFonts w:hint="eastAsia" w:ascii="仿宋" w:hAnsi="仿宋" w:eastAsia="仿宋"/>
                <w:sz w:val="24"/>
              </w:rPr>
              <w:t>1</w:t>
            </w:r>
          </w:p>
        </w:tc>
        <w:tc>
          <w:tcPr>
            <w:tcW w:w="1559" w:type="dxa"/>
            <w:vAlign w:val="center"/>
          </w:tcPr>
          <w:p w14:paraId="71751BEB">
            <w:pPr>
              <w:pStyle w:val="6"/>
              <w:jc w:val="center"/>
            </w:pPr>
            <w:r>
              <w:rPr>
                <w:rFonts w:hint="eastAsia"/>
              </w:rPr>
              <w:t>主体赛事服务</w:t>
            </w:r>
          </w:p>
        </w:tc>
        <w:tc>
          <w:tcPr>
            <w:tcW w:w="1559" w:type="dxa"/>
          </w:tcPr>
          <w:p w14:paraId="546154C4">
            <w:pPr>
              <w:pStyle w:val="6"/>
              <w:jc w:val="center"/>
            </w:pPr>
            <w:r>
              <w:rPr>
                <w:rFonts w:hint="eastAsia"/>
              </w:rPr>
              <w:t>即日起至2026年4月</w:t>
            </w:r>
          </w:p>
        </w:tc>
        <w:tc>
          <w:tcPr>
            <w:tcW w:w="4428" w:type="dxa"/>
            <w:vAlign w:val="center"/>
          </w:tcPr>
          <w:p w14:paraId="10E6D8CC">
            <w:pPr>
              <w:pStyle w:val="6"/>
              <w:jc w:val="center"/>
            </w:pPr>
            <w:r>
              <w:rPr>
                <w:rFonts w:hint="eastAsia"/>
              </w:rPr>
              <w:t>协助学校完成省赛主体赛事顺利举办</w:t>
            </w:r>
          </w:p>
        </w:tc>
      </w:tr>
      <w:tr w14:paraId="7C9F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14:paraId="7091ABE9">
            <w:pPr>
              <w:widowControl/>
              <w:jc w:val="center"/>
              <w:textAlignment w:val="center"/>
              <w:rPr>
                <w:rFonts w:ascii="仿宋" w:hAnsi="仿宋" w:eastAsia="仿宋"/>
                <w:sz w:val="24"/>
              </w:rPr>
            </w:pPr>
            <w:r>
              <w:rPr>
                <w:rFonts w:hint="eastAsia" w:ascii="仿宋" w:hAnsi="仿宋" w:eastAsia="仿宋"/>
                <w:sz w:val="24"/>
              </w:rPr>
              <w:t>2</w:t>
            </w:r>
          </w:p>
        </w:tc>
        <w:tc>
          <w:tcPr>
            <w:tcW w:w="1559" w:type="dxa"/>
            <w:vAlign w:val="center"/>
          </w:tcPr>
          <w:p w14:paraId="19FBB906">
            <w:pPr>
              <w:pStyle w:val="6"/>
              <w:jc w:val="center"/>
            </w:pPr>
            <w:r>
              <w:rPr>
                <w:rFonts w:hint="eastAsia"/>
              </w:rPr>
              <w:t>颁奖晚会服务</w:t>
            </w:r>
          </w:p>
        </w:tc>
        <w:tc>
          <w:tcPr>
            <w:tcW w:w="1559" w:type="dxa"/>
          </w:tcPr>
          <w:p w14:paraId="712426FA">
            <w:pPr>
              <w:pStyle w:val="6"/>
              <w:jc w:val="center"/>
            </w:pPr>
            <w:r>
              <w:rPr>
                <w:rFonts w:hint="eastAsia"/>
              </w:rPr>
              <w:t>即日起至2026年4月</w:t>
            </w:r>
          </w:p>
        </w:tc>
        <w:tc>
          <w:tcPr>
            <w:tcW w:w="4428" w:type="dxa"/>
            <w:vAlign w:val="center"/>
          </w:tcPr>
          <w:p w14:paraId="59900AAA">
            <w:pPr>
              <w:pStyle w:val="6"/>
              <w:jc w:val="center"/>
            </w:pPr>
            <w:r>
              <w:rPr>
                <w:rFonts w:hint="eastAsia"/>
              </w:rPr>
              <w:t>协助学校完成颁奖典礼顺利举办</w:t>
            </w:r>
          </w:p>
        </w:tc>
      </w:tr>
      <w:tr w14:paraId="7B75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14:paraId="33C201F6">
            <w:pPr>
              <w:widowControl/>
              <w:jc w:val="center"/>
              <w:textAlignment w:val="center"/>
              <w:rPr>
                <w:rFonts w:ascii="仿宋" w:hAnsi="仿宋" w:eastAsia="仿宋"/>
                <w:sz w:val="24"/>
              </w:rPr>
            </w:pPr>
            <w:r>
              <w:rPr>
                <w:rFonts w:hint="eastAsia" w:ascii="仿宋" w:hAnsi="仿宋" w:eastAsia="仿宋"/>
                <w:sz w:val="24"/>
              </w:rPr>
              <w:t>3</w:t>
            </w:r>
          </w:p>
        </w:tc>
        <w:tc>
          <w:tcPr>
            <w:tcW w:w="1559" w:type="dxa"/>
            <w:vAlign w:val="center"/>
          </w:tcPr>
          <w:p w14:paraId="2686FB69">
            <w:pPr>
              <w:pStyle w:val="6"/>
              <w:jc w:val="center"/>
            </w:pPr>
            <w:r>
              <w:rPr>
                <w:rFonts w:hint="eastAsia"/>
              </w:rPr>
              <w:t>同期活动</w:t>
            </w:r>
          </w:p>
        </w:tc>
        <w:tc>
          <w:tcPr>
            <w:tcW w:w="1559" w:type="dxa"/>
          </w:tcPr>
          <w:p w14:paraId="09F25AEA">
            <w:pPr>
              <w:pStyle w:val="6"/>
              <w:jc w:val="center"/>
            </w:pPr>
            <w:r>
              <w:rPr>
                <w:rFonts w:hint="eastAsia"/>
              </w:rPr>
              <w:t>即日起至2026年4月</w:t>
            </w:r>
          </w:p>
        </w:tc>
        <w:tc>
          <w:tcPr>
            <w:tcW w:w="4428" w:type="dxa"/>
            <w:vAlign w:val="center"/>
          </w:tcPr>
          <w:p w14:paraId="0C464E6B">
            <w:pPr>
              <w:pStyle w:val="6"/>
              <w:jc w:val="center"/>
            </w:pPr>
            <w:r>
              <w:rPr>
                <w:rFonts w:hint="eastAsia"/>
              </w:rPr>
              <w:t>协助学校完成省赛同期活动顺利举办</w:t>
            </w:r>
          </w:p>
        </w:tc>
      </w:tr>
      <w:tr w14:paraId="1084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14:paraId="5D728D1E">
            <w:pPr>
              <w:widowControl/>
              <w:jc w:val="center"/>
              <w:textAlignment w:val="center"/>
              <w:rPr>
                <w:rFonts w:ascii="仿宋" w:hAnsi="仿宋" w:eastAsia="仿宋"/>
                <w:sz w:val="24"/>
              </w:rPr>
            </w:pPr>
            <w:r>
              <w:rPr>
                <w:rFonts w:hint="eastAsia" w:ascii="仿宋" w:hAnsi="仿宋" w:eastAsia="仿宋"/>
                <w:sz w:val="24"/>
              </w:rPr>
              <w:t>4</w:t>
            </w:r>
          </w:p>
        </w:tc>
        <w:tc>
          <w:tcPr>
            <w:tcW w:w="1559" w:type="dxa"/>
            <w:vAlign w:val="center"/>
          </w:tcPr>
          <w:p w14:paraId="6530741A">
            <w:pPr>
              <w:pStyle w:val="6"/>
              <w:jc w:val="center"/>
            </w:pPr>
            <w:r>
              <w:rPr>
                <w:rFonts w:hint="eastAsia"/>
              </w:rPr>
              <w:t>比赛物料</w:t>
            </w:r>
          </w:p>
        </w:tc>
        <w:tc>
          <w:tcPr>
            <w:tcW w:w="1559" w:type="dxa"/>
          </w:tcPr>
          <w:p w14:paraId="03AFB394">
            <w:pPr>
              <w:pStyle w:val="6"/>
              <w:jc w:val="center"/>
            </w:pPr>
            <w:r>
              <w:rPr>
                <w:rFonts w:hint="eastAsia"/>
              </w:rPr>
              <w:t>即日起至2026年4月</w:t>
            </w:r>
          </w:p>
        </w:tc>
        <w:tc>
          <w:tcPr>
            <w:tcW w:w="4428" w:type="dxa"/>
            <w:vAlign w:val="center"/>
          </w:tcPr>
          <w:p w14:paraId="662723ED">
            <w:pPr>
              <w:pStyle w:val="6"/>
              <w:jc w:val="center"/>
            </w:pPr>
            <w:r>
              <w:rPr>
                <w:rFonts w:hint="eastAsia"/>
              </w:rPr>
              <w:t>协助学校完成省赛所有物料的准备、布置工作</w:t>
            </w:r>
          </w:p>
        </w:tc>
      </w:tr>
    </w:tbl>
    <w:p w14:paraId="35573DF3">
      <w:pPr>
        <w:spacing w:line="560" w:lineRule="exact"/>
        <w:jc w:val="left"/>
        <w:rPr>
          <w:rFonts w:ascii="仿宋" w:hAnsi="仿宋" w:eastAsia="仿宋"/>
          <w:sz w:val="32"/>
          <w:szCs w:val="32"/>
        </w:rPr>
      </w:pPr>
      <w:r>
        <w:rPr>
          <w:rFonts w:hint="eastAsia" w:ascii="仿宋" w:hAnsi="仿宋" w:eastAsia="仿宋"/>
          <w:bCs/>
          <w:color w:val="FF0000"/>
          <w:sz w:val="32"/>
          <w:szCs w:val="32"/>
        </w:rPr>
        <w:t>（编制说明：根据项目类型编制，其他自行删除。）</w:t>
      </w:r>
    </w:p>
    <w:p w14:paraId="08BFF093">
      <w:pPr>
        <w:spacing w:line="560" w:lineRule="exact"/>
        <w:rPr>
          <w:rFonts w:ascii="仿宋" w:hAnsi="仿宋" w:eastAsia="仿宋"/>
          <w:sz w:val="24"/>
        </w:rPr>
      </w:pPr>
      <w:r>
        <w:rPr>
          <w:rFonts w:hint="eastAsia" w:ascii="仿宋" w:hAnsi="仿宋" w:eastAsia="仿宋"/>
          <w:b/>
          <w:sz w:val="32"/>
          <w:szCs w:val="32"/>
        </w:rPr>
        <w:t>三、技术/服务标准与要求</w:t>
      </w:r>
    </w:p>
    <w:p w14:paraId="357AB5FD">
      <w:pPr>
        <w:pStyle w:val="6"/>
      </w:pPr>
      <w:r>
        <w:rPr>
          <w:rFonts w:hint="eastAsia"/>
        </w:rPr>
        <w:t>（一）（南昌大学第四届江西省大学生职业规划大赛赛事服务采购项目）（1）</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17"/>
        <w:gridCol w:w="2039"/>
        <w:gridCol w:w="4111"/>
      </w:tblGrid>
      <w:tr w14:paraId="1D63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62391769">
            <w:pPr>
              <w:pStyle w:val="6"/>
            </w:pPr>
            <w:r>
              <w:rPr>
                <w:rFonts w:hint="eastAsia"/>
              </w:rPr>
              <w:t>序号</w:t>
            </w:r>
          </w:p>
        </w:tc>
        <w:tc>
          <w:tcPr>
            <w:tcW w:w="1217" w:type="dxa"/>
            <w:vAlign w:val="center"/>
          </w:tcPr>
          <w:p w14:paraId="61CBD2B0">
            <w:pPr>
              <w:pStyle w:val="6"/>
            </w:pPr>
            <w:r>
              <w:rPr>
                <w:rFonts w:hint="eastAsia"/>
              </w:rPr>
              <w:t>重要性</w:t>
            </w:r>
          </w:p>
        </w:tc>
        <w:tc>
          <w:tcPr>
            <w:tcW w:w="2039" w:type="dxa"/>
            <w:vAlign w:val="center"/>
          </w:tcPr>
          <w:p w14:paraId="2DC1B7FA">
            <w:pPr>
              <w:pStyle w:val="6"/>
            </w:pPr>
            <w:r>
              <w:rPr>
                <w:rFonts w:hint="eastAsia"/>
              </w:rPr>
              <w:t>指标项</w:t>
            </w:r>
          </w:p>
        </w:tc>
        <w:tc>
          <w:tcPr>
            <w:tcW w:w="4111" w:type="dxa"/>
            <w:vAlign w:val="center"/>
          </w:tcPr>
          <w:p w14:paraId="5ED9047C">
            <w:pPr>
              <w:pStyle w:val="6"/>
            </w:pPr>
            <w:r>
              <w:rPr>
                <w:rFonts w:hint="eastAsia"/>
              </w:rPr>
              <w:t>指标要求</w:t>
            </w:r>
          </w:p>
        </w:tc>
      </w:tr>
      <w:tr w14:paraId="116A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15274927">
            <w:pPr>
              <w:pStyle w:val="6"/>
            </w:pPr>
            <w:r>
              <w:rPr>
                <w:rFonts w:hint="eastAsia"/>
              </w:rPr>
              <w:t>1</w:t>
            </w:r>
          </w:p>
        </w:tc>
        <w:tc>
          <w:tcPr>
            <w:tcW w:w="1217" w:type="dxa"/>
            <w:vAlign w:val="center"/>
          </w:tcPr>
          <w:p w14:paraId="17E2F727">
            <w:pPr>
              <w:pStyle w:val="6"/>
            </w:pPr>
            <w:r>
              <w:t>▲</w:t>
            </w:r>
          </w:p>
        </w:tc>
        <w:tc>
          <w:tcPr>
            <w:tcW w:w="2039" w:type="dxa"/>
            <w:vAlign w:val="center"/>
          </w:tcPr>
          <w:p w14:paraId="7E506E7D">
            <w:pPr>
              <w:pStyle w:val="6"/>
              <w:ind w:firstLine="0" w:firstLineChars="0"/>
            </w:pPr>
            <w:r>
              <w:rPr>
                <w:rFonts w:hint="eastAsia"/>
              </w:rPr>
              <w:t>学生赛道比赛服务</w:t>
            </w:r>
          </w:p>
        </w:tc>
        <w:tc>
          <w:tcPr>
            <w:tcW w:w="4111" w:type="dxa"/>
          </w:tcPr>
          <w:p w14:paraId="34EF4293">
            <w:pPr>
              <w:spacing w:line="360" w:lineRule="auto"/>
              <w:rPr>
                <w:rFonts w:ascii="宋体" w:hAnsi="宋体" w:eastAsia="宋体" w:cs="宋体"/>
                <w:szCs w:val="21"/>
              </w:rPr>
            </w:pPr>
            <w:r>
              <w:rPr>
                <w:rFonts w:hint="eastAsia" w:ascii="宋体" w:hAnsi="宋体" w:eastAsia="宋体" w:cs="宋体"/>
                <w:szCs w:val="21"/>
              </w:rPr>
              <w:t>1. 供应商提供决赛总体策划，配合采购方制定详尽的《大赛执行总案》、《应急预案》、《人员流线图》、《时间进度表》。</w:t>
            </w:r>
          </w:p>
          <w:p w14:paraId="374F6CC1">
            <w:pPr>
              <w:spacing w:line="360" w:lineRule="auto"/>
              <w:rPr>
                <w:rFonts w:ascii="宋体" w:hAnsi="宋体" w:eastAsia="宋体" w:cs="宋体"/>
                <w:szCs w:val="21"/>
              </w:rPr>
            </w:pPr>
            <w:r>
              <w:rPr>
                <w:rFonts w:hint="eastAsia" w:ascii="宋体" w:hAnsi="宋体" w:eastAsia="宋体" w:cs="宋体"/>
                <w:szCs w:val="21"/>
              </w:rPr>
              <w:t>2. 供应商提供决赛物料设计与制作。提供完整的大赛整体视觉形象系统（VIS）设计方案，包括主视觉、logo延展、口号、色彩体系等，并应用于所有物料。</w:t>
            </w:r>
          </w:p>
          <w:p w14:paraId="7B0B6600">
            <w:pPr>
              <w:spacing w:line="360" w:lineRule="auto"/>
              <w:rPr>
                <w:rFonts w:ascii="宋体" w:hAnsi="宋体" w:eastAsia="宋体" w:cs="宋体"/>
                <w:szCs w:val="21"/>
              </w:rPr>
            </w:pPr>
            <w:r>
              <w:rPr>
                <w:rFonts w:hint="eastAsia" w:ascii="宋体" w:hAnsi="宋体" w:eastAsia="宋体" w:cs="宋体"/>
                <w:szCs w:val="21"/>
              </w:rPr>
              <w:t>物料设计与制作技术要求：设计（PS、AI、CAD等软件）并制作所有相关物料（高清黑白喷绘布、背胶巨龙布、KT板、PET等材质物料），包括但不限于：工作证500份、参赛证300份、邀请函（电子版35份）、号码贴（300个），节目单、获奖证书（300份）、赛事手册（700份），奖杯奖牌、手提袋（700份）、背景板（500㎡）、展架（40个）、指引牌（26个）等。</w:t>
            </w:r>
          </w:p>
          <w:p w14:paraId="09867EDC">
            <w:pPr>
              <w:spacing w:line="360" w:lineRule="auto"/>
              <w:rPr>
                <w:rFonts w:ascii="宋体" w:hAnsi="宋体" w:eastAsia="宋体" w:cs="宋体"/>
                <w:szCs w:val="21"/>
              </w:rPr>
            </w:pPr>
            <w:r>
              <w:rPr>
                <w:rFonts w:hint="eastAsia" w:ascii="宋体" w:hAnsi="宋体" w:eastAsia="宋体" w:cs="宋体"/>
                <w:szCs w:val="21"/>
              </w:rPr>
              <w:t>3. 搭建与安装人工费。活动前一天派遣工程队和搭建工人到现场，进行舞台搭建、背景板安装、所有导视系统和氛围物料的布置。工头1名，普工8名。（12小时）</w:t>
            </w:r>
          </w:p>
          <w:p w14:paraId="5CA4F4CE">
            <w:pPr>
              <w:spacing w:line="360" w:lineRule="auto"/>
              <w:rPr>
                <w:rFonts w:ascii="宋体" w:hAnsi="宋体" w:eastAsia="宋体" w:cs="宋体"/>
                <w:szCs w:val="21"/>
              </w:rPr>
            </w:pPr>
            <w:r>
              <w:rPr>
                <w:rFonts w:hint="eastAsia" w:ascii="宋体" w:hAnsi="宋体" w:eastAsia="宋体" w:cs="宋体"/>
                <w:szCs w:val="21"/>
              </w:rPr>
              <w:t>4.供应商派驻核心项目管理团队负责总控。（全职人员共计10人）</w:t>
            </w:r>
          </w:p>
          <w:p w14:paraId="5D4ADC17">
            <w:pPr>
              <w:spacing w:line="360" w:lineRule="auto"/>
              <w:rPr>
                <w:rFonts w:ascii="宋体" w:hAnsi="宋体" w:eastAsia="宋体" w:cs="宋体"/>
                <w:szCs w:val="21"/>
              </w:rPr>
            </w:pPr>
            <w:r>
              <w:rPr>
                <w:rFonts w:hint="eastAsia" w:ascii="宋体" w:hAnsi="宋体" w:eastAsia="宋体" w:cs="宋体"/>
                <w:szCs w:val="21"/>
              </w:rPr>
              <w:t>项目总负责人（1名）：全局统筹，与您方最高领导对接。</w:t>
            </w:r>
          </w:p>
          <w:p w14:paraId="2918E323">
            <w:pPr>
              <w:spacing w:line="360" w:lineRule="auto"/>
              <w:rPr>
                <w:rFonts w:ascii="宋体" w:hAnsi="宋体" w:eastAsia="宋体" w:cs="宋体"/>
                <w:szCs w:val="21"/>
              </w:rPr>
            </w:pPr>
            <w:r>
              <w:rPr>
                <w:rFonts w:hint="eastAsia" w:ascii="宋体" w:hAnsi="宋体" w:eastAsia="宋体" w:cs="宋体"/>
                <w:szCs w:val="21"/>
              </w:rPr>
              <w:t>现场总指挥（1名）： 24小时在现场，处理所有突发状况。</w:t>
            </w:r>
          </w:p>
          <w:p w14:paraId="17DD640E">
            <w:pPr>
              <w:spacing w:line="360" w:lineRule="auto"/>
              <w:rPr>
                <w:rFonts w:ascii="宋体" w:hAnsi="宋体" w:eastAsia="宋体" w:cs="宋体"/>
                <w:szCs w:val="21"/>
              </w:rPr>
            </w:pPr>
            <w:r>
              <w:rPr>
                <w:rFonts w:hint="eastAsia" w:ascii="宋体" w:hAnsi="宋体" w:eastAsia="宋体" w:cs="宋体"/>
                <w:szCs w:val="21"/>
              </w:rPr>
              <w:t>各分组组长（6名）：分别负责接待、赛务、晚会、后勤等小组。</w:t>
            </w:r>
          </w:p>
          <w:p w14:paraId="27D45E5A">
            <w:pPr>
              <w:spacing w:line="360" w:lineRule="auto"/>
              <w:rPr>
                <w:rFonts w:ascii="宋体" w:hAnsi="宋体" w:eastAsia="宋体" w:cs="宋体"/>
                <w:szCs w:val="21"/>
              </w:rPr>
            </w:pPr>
            <w:r>
              <w:rPr>
                <w:rFonts w:hint="eastAsia" w:ascii="宋体" w:hAnsi="宋体" w:eastAsia="宋体" w:cs="宋体"/>
                <w:szCs w:val="21"/>
              </w:rPr>
              <w:t>校方：2名核心老师</w:t>
            </w:r>
          </w:p>
          <w:p w14:paraId="097DABDB">
            <w:pPr>
              <w:spacing w:line="360" w:lineRule="auto"/>
              <w:rPr>
                <w:rFonts w:ascii="宋体" w:hAnsi="宋体" w:eastAsia="宋体" w:cs="宋体"/>
                <w:szCs w:val="21"/>
              </w:rPr>
            </w:pPr>
            <w:r>
              <w:rPr>
                <w:rFonts w:hint="eastAsia" w:ascii="宋体" w:hAnsi="宋体" w:eastAsia="宋体" w:cs="宋体"/>
                <w:szCs w:val="21"/>
              </w:rPr>
              <w:t>5.志愿者团队30人整体费用.（校方负责招募，供应商管理）​</w:t>
            </w:r>
          </w:p>
          <w:p w14:paraId="6600BB0F">
            <w:pPr>
              <w:spacing w:line="360" w:lineRule="auto"/>
              <w:rPr>
                <w:rFonts w:ascii="宋体" w:hAnsi="宋体" w:eastAsia="宋体" w:cs="宋体"/>
                <w:szCs w:val="21"/>
              </w:rPr>
            </w:pPr>
            <w:r>
              <w:rPr>
                <w:rFonts w:hint="eastAsia" w:ascii="宋体" w:hAnsi="宋体" w:eastAsia="宋体" w:cs="宋体"/>
                <w:szCs w:val="21"/>
              </w:rPr>
              <w:t>签到引导7人、赛事协调8人、后勤保障9人、应急服务6人</w:t>
            </w:r>
          </w:p>
          <w:p w14:paraId="2A816B12">
            <w:pPr>
              <w:spacing w:line="360" w:lineRule="auto"/>
              <w:rPr>
                <w:rFonts w:ascii="宋体" w:hAnsi="宋体" w:eastAsia="宋体" w:cs="宋体"/>
                <w:szCs w:val="21"/>
              </w:rPr>
            </w:pPr>
            <w:r>
              <w:rPr>
                <w:rFonts w:hint="eastAsia" w:ascii="宋体" w:hAnsi="宋体" w:eastAsia="宋体" w:cs="宋体"/>
                <w:szCs w:val="21"/>
              </w:rPr>
              <w:t>6.评委接机接站服务。提前一周收集所有评委嘉宾的姓名、航班号/车次、抵达时间、抵达站点，手机号码，制作《嘉宾抵离信息表》。</w:t>
            </w:r>
          </w:p>
          <w:p w14:paraId="47B993E5">
            <w:pPr>
              <w:spacing w:line="360" w:lineRule="auto"/>
              <w:rPr>
                <w:rFonts w:ascii="宋体" w:hAnsi="宋体" w:eastAsia="宋体" w:cs="宋体"/>
                <w:szCs w:val="21"/>
              </w:rPr>
            </w:pPr>
            <w:r>
              <w:rPr>
                <w:rFonts w:hint="eastAsia" w:ascii="宋体" w:hAnsi="宋体" w:eastAsia="宋体" w:cs="宋体"/>
                <w:szCs w:val="21"/>
              </w:rPr>
              <w:t>时间相近、地点相同优先合并：将抵达时间相差在30-60分钟内的、同一机场或火车站的人安排在同一辆车上。</w:t>
            </w:r>
          </w:p>
          <w:p w14:paraId="255720A5">
            <w:pPr>
              <w:spacing w:line="360" w:lineRule="auto"/>
              <w:rPr>
                <w:rFonts w:ascii="宋体" w:hAnsi="宋体" w:eastAsia="宋体" w:cs="宋体"/>
                <w:szCs w:val="21"/>
              </w:rPr>
            </w:pPr>
            <w:r>
              <w:rPr>
                <w:rFonts w:hint="eastAsia" w:ascii="宋体" w:hAnsi="宋体" w:eastAsia="宋体" w:cs="宋体"/>
                <w:szCs w:val="21"/>
              </w:rPr>
              <w:t>车型选择：3-4人：7座商务车或4座轿车</w:t>
            </w:r>
          </w:p>
          <w:p w14:paraId="6B6B3419">
            <w:pPr>
              <w:spacing w:line="360" w:lineRule="auto"/>
              <w:rPr>
                <w:rFonts w:ascii="宋体" w:hAnsi="宋体" w:eastAsia="宋体" w:cs="宋体"/>
                <w:szCs w:val="21"/>
              </w:rPr>
            </w:pPr>
            <w:r>
              <w:rPr>
                <w:rFonts w:hint="eastAsia" w:ascii="宋体" w:hAnsi="宋体" w:eastAsia="宋体" w:cs="宋体"/>
                <w:szCs w:val="21"/>
              </w:rPr>
              <w:t>7.安排车辆负责评委赛事期间接送工作。</w:t>
            </w:r>
          </w:p>
          <w:p w14:paraId="551A692A">
            <w:pPr>
              <w:spacing w:line="360" w:lineRule="auto"/>
              <w:rPr>
                <w:rFonts w:ascii="宋体" w:hAnsi="宋体" w:eastAsia="宋体" w:cs="宋体"/>
                <w:szCs w:val="21"/>
              </w:rPr>
            </w:pPr>
            <w:r>
              <w:rPr>
                <w:rFonts w:hint="eastAsia" w:ascii="宋体" w:hAnsi="宋体" w:eastAsia="宋体" w:cs="宋体"/>
                <w:szCs w:val="21"/>
              </w:rPr>
              <w:t>赛前从酒店到赛场，赛后从赛场到酒店。评委+嘉宾 30人，安排2辆豪华中巴（可容纳20-23人/辆）另备 1辆商务轿车作为机动和领导用车。</w:t>
            </w:r>
          </w:p>
          <w:p w14:paraId="3305E6B1">
            <w:pPr>
              <w:spacing w:line="360" w:lineRule="auto"/>
              <w:rPr>
                <w:rFonts w:ascii="宋体" w:hAnsi="宋体" w:eastAsia="宋体" w:cs="宋体"/>
                <w:szCs w:val="21"/>
              </w:rPr>
            </w:pPr>
            <w:r>
              <w:rPr>
                <w:rFonts w:hint="eastAsia" w:ascii="宋体" w:hAnsi="宋体" w:eastAsia="宋体" w:cs="宋体"/>
                <w:szCs w:val="21"/>
              </w:rPr>
              <w:t>8.评审专家和嘉宾30人会议期间的住宿（按2晚计）</w:t>
            </w:r>
          </w:p>
          <w:p w14:paraId="497EB0B8">
            <w:pPr>
              <w:spacing w:line="360" w:lineRule="auto"/>
              <w:rPr>
                <w:rFonts w:ascii="宋体" w:hAnsi="宋体" w:eastAsia="宋体" w:cs="宋体"/>
                <w:szCs w:val="21"/>
              </w:rPr>
            </w:pPr>
            <w:r>
              <w:rPr>
                <w:rFonts w:hint="eastAsia" w:ascii="宋体" w:hAnsi="宋体" w:eastAsia="宋体" w:cs="宋体"/>
                <w:szCs w:val="21"/>
              </w:rPr>
              <w:t>住宿标准：350元/天/人*2天</w:t>
            </w:r>
          </w:p>
          <w:p w14:paraId="50A49F11">
            <w:pPr>
              <w:spacing w:line="360" w:lineRule="auto"/>
              <w:rPr>
                <w:rFonts w:ascii="宋体" w:hAnsi="宋体" w:eastAsia="宋体" w:cs="宋体"/>
                <w:szCs w:val="21"/>
              </w:rPr>
            </w:pPr>
            <w:r>
              <w:rPr>
                <w:rFonts w:hint="eastAsia" w:ascii="宋体" w:hAnsi="宋体" w:eastAsia="宋体" w:cs="宋体"/>
                <w:szCs w:val="21"/>
              </w:rPr>
              <w:t>9.参赛选手300人，带队老师300人，评委及嘉宾30人及全职工作人员10人，志愿都30人参赛期间的工作餐.</w:t>
            </w:r>
          </w:p>
          <w:p w14:paraId="6A634EBF">
            <w:pPr>
              <w:spacing w:line="360" w:lineRule="auto"/>
              <w:rPr>
                <w:rFonts w:ascii="宋体" w:hAnsi="宋体" w:eastAsia="宋体" w:cs="宋体"/>
                <w:szCs w:val="21"/>
              </w:rPr>
            </w:pPr>
            <w:r>
              <w:rPr>
                <w:rFonts w:hint="eastAsia" w:ascii="宋体" w:hAnsi="宋体" w:eastAsia="宋体" w:cs="宋体"/>
                <w:szCs w:val="21"/>
              </w:rPr>
              <w:t>用餐标准：25元/人/餐*5餐</w:t>
            </w:r>
          </w:p>
          <w:p w14:paraId="3BCF7E86">
            <w:pPr>
              <w:pStyle w:val="6"/>
              <w:ind w:firstLine="0" w:firstLineChars="0"/>
              <w:jc w:val="both"/>
            </w:pPr>
          </w:p>
        </w:tc>
      </w:tr>
      <w:tr w14:paraId="5CF2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50C85B73">
            <w:pPr>
              <w:pStyle w:val="6"/>
            </w:pPr>
            <w:r>
              <w:rPr>
                <w:rFonts w:hint="eastAsia"/>
              </w:rPr>
              <w:t>2</w:t>
            </w:r>
          </w:p>
        </w:tc>
        <w:tc>
          <w:tcPr>
            <w:tcW w:w="1217" w:type="dxa"/>
            <w:vAlign w:val="center"/>
          </w:tcPr>
          <w:p w14:paraId="1805CD11">
            <w:pPr>
              <w:pStyle w:val="6"/>
            </w:pPr>
            <w:r>
              <w:t>▲</w:t>
            </w:r>
          </w:p>
        </w:tc>
        <w:tc>
          <w:tcPr>
            <w:tcW w:w="2039" w:type="dxa"/>
            <w:vAlign w:val="center"/>
          </w:tcPr>
          <w:p w14:paraId="086D354A">
            <w:pPr>
              <w:pStyle w:val="6"/>
              <w:ind w:firstLine="0" w:firstLineChars="0"/>
            </w:pPr>
            <w:r>
              <w:rPr>
                <w:rFonts w:hint="eastAsia"/>
              </w:rPr>
              <w:t>教师赛道比赛服务</w:t>
            </w:r>
          </w:p>
        </w:tc>
        <w:tc>
          <w:tcPr>
            <w:tcW w:w="4111" w:type="dxa"/>
          </w:tcPr>
          <w:p w14:paraId="5CC67FEF">
            <w:pPr>
              <w:spacing w:line="360" w:lineRule="auto"/>
              <w:rPr>
                <w:rFonts w:ascii="宋体" w:hAnsi="宋体" w:eastAsia="宋体" w:cs="宋体"/>
              </w:rPr>
            </w:pPr>
            <w:r>
              <w:rPr>
                <w:rFonts w:hint="eastAsia" w:ascii="宋体" w:hAnsi="宋体" w:eastAsia="宋体" w:cs="宋体"/>
              </w:rPr>
              <w:t>1.供应商提供决赛总体策划，配合采购方制定详尽的《大赛执行总案》、《应急预案》、《人员流线图》、《时间进度表》。</w:t>
            </w:r>
          </w:p>
          <w:p w14:paraId="767A4320">
            <w:pPr>
              <w:spacing w:line="360" w:lineRule="auto"/>
              <w:rPr>
                <w:rFonts w:ascii="宋体" w:hAnsi="宋体" w:eastAsia="宋体" w:cs="宋体"/>
              </w:rPr>
            </w:pPr>
            <w:r>
              <w:rPr>
                <w:rFonts w:hint="eastAsia" w:ascii="宋体" w:hAnsi="宋体" w:eastAsia="宋体" w:cs="宋体"/>
              </w:rPr>
              <w:t>2.供应商提供决赛物料设计与制作。</w:t>
            </w:r>
          </w:p>
          <w:p w14:paraId="20BEACE2">
            <w:pPr>
              <w:spacing w:line="360" w:lineRule="auto"/>
              <w:rPr>
                <w:rFonts w:ascii="宋体" w:hAnsi="宋体" w:eastAsia="宋体" w:cs="宋体"/>
              </w:rPr>
            </w:pPr>
            <w:r>
              <w:rPr>
                <w:rFonts w:hint="eastAsia" w:ascii="宋体" w:hAnsi="宋体" w:eastAsia="宋体" w:cs="宋体"/>
              </w:rPr>
              <w:t>提供完整的大赛整体视觉形象系统（VIS）设计方案，包括主视觉、logo延展、口号、色彩体系等，并应用于所有物料。</w:t>
            </w:r>
          </w:p>
          <w:p w14:paraId="4F90AA36">
            <w:pPr>
              <w:spacing w:line="360" w:lineRule="auto"/>
              <w:rPr>
                <w:rFonts w:ascii="宋体" w:hAnsi="宋体" w:eastAsia="宋体" w:cs="宋体"/>
              </w:rPr>
            </w:pPr>
            <w:r>
              <w:rPr>
                <w:rFonts w:hint="eastAsia" w:ascii="宋体" w:hAnsi="宋体" w:eastAsia="宋体" w:cs="宋体"/>
              </w:rPr>
              <w:t>物料设计与制作技术要求：设计并制作所有相关物料，包括但不限于：工作证、参赛证、邀请函、节目单、获奖证书、奖杯奖牌、手提袋、背景板、展架、指引牌等。</w:t>
            </w:r>
          </w:p>
          <w:p w14:paraId="6F4AF6BB">
            <w:pPr>
              <w:spacing w:line="360" w:lineRule="auto"/>
              <w:rPr>
                <w:rFonts w:ascii="宋体" w:hAnsi="宋体" w:eastAsia="宋体" w:cs="宋体"/>
              </w:rPr>
            </w:pPr>
            <w:r>
              <w:rPr>
                <w:rFonts w:hint="eastAsia" w:ascii="宋体" w:hAnsi="宋体" w:eastAsia="宋体" w:cs="宋体"/>
              </w:rPr>
              <w:t>3.搭建与安装人工费。活动前一天派遣工程队和搭建工人到现场，进行、背景板安装、所有导视系统和氛围物料的布置。工头1名，普工8名。8小时</w:t>
            </w:r>
          </w:p>
          <w:p w14:paraId="6F4002D7">
            <w:pPr>
              <w:spacing w:line="360" w:lineRule="auto"/>
              <w:rPr>
                <w:rFonts w:ascii="宋体" w:hAnsi="宋体" w:eastAsia="宋体" w:cs="宋体"/>
              </w:rPr>
            </w:pPr>
            <w:r>
              <w:rPr>
                <w:rFonts w:hint="eastAsia" w:ascii="宋体" w:hAnsi="宋体" w:eastAsia="宋体" w:cs="宋体"/>
              </w:rPr>
              <w:t>4.供应商派驻核心项目管理团队负责总控。（全职人员共计10人）</w:t>
            </w:r>
          </w:p>
          <w:p w14:paraId="43125B8D">
            <w:pPr>
              <w:spacing w:line="360" w:lineRule="auto"/>
              <w:rPr>
                <w:rFonts w:ascii="宋体" w:hAnsi="宋体" w:eastAsia="宋体" w:cs="宋体"/>
              </w:rPr>
            </w:pPr>
            <w:r>
              <w:rPr>
                <w:rFonts w:hint="eastAsia" w:ascii="宋体" w:hAnsi="宋体" w:eastAsia="宋体" w:cs="宋体"/>
              </w:rPr>
              <w:t>人员配置：​项目总负责人（1名）：全局统筹，与您方最高领导对接。</w:t>
            </w:r>
          </w:p>
          <w:p w14:paraId="7D2C4344">
            <w:pPr>
              <w:spacing w:line="360" w:lineRule="auto"/>
              <w:rPr>
                <w:rFonts w:ascii="宋体" w:hAnsi="宋体" w:eastAsia="宋体" w:cs="宋体"/>
              </w:rPr>
            </w:pPr>
            <w:r>
              <w:rPr>
                <w:rFonts w:hint="eastAsia" w:ascii="宋体" w:hAnsi="宋体" w:eastAsia="宋体" w:cs="宋体"/>
              </w:rPr>
              <w:t>现场总指挥（1名）： 24小时在现场，处理所有突发状况。</w:t>
            </w:r>
          </w:p>
          <w:p w14:paraId="1B2B1F70">
            <w:pPr>
              <w:spacing w:line="360" w:lineRule="auto"/>
              <w:rPr>
                <w:rFonts w:ascii="宋体" w:hAnsi="宋体" w:eastAsia="宋体" w:cs="宋体"/>
              </w:rPr>
            </w:pPr>
            <w:r>
              <w:rPr>
                <w:rFonts w:hint="eastAsia" w:ascii="宋体" w:hAnsi="宋体" w:eastAsia="宋体" w:cs="宋体"/>
              </w:rPr>
              <w:t>各分组组长（6名）：分别负责接待、赛务、后勤等小组。</w:t>
            </w:r>
          </w:p>
          <w:p w14:paraId="1AC117EC">
            <w:pPr>
              <w:spacing w:line="360" w:lineRule="auto"/>
              <w:rPr>
                <w:rFonts w:ascii="宋体" w:hAnsi="宋体" w:eastAsia="宋体" w:cs="宋体"/>
              </w:rPr>
            </w:pPr>
            <w:r>
              <w:rPr>
                <w:rFonts w:hint="eastAsia" w:ascii="宋体" w:hAnsi="宋体" w:eastAsia="宋体" w:cs="宋体"/>
              </w:rPr>
              <w:t>校方：2名核心老师</w:t>
            </w:r>
          </w:p>
          <w:p w14:paraId="27DA0AC8">
            <w:pPr>
              <w:spacing w:line="360" w:lineRule="auto"/>
              <w:rPr>
                <w:rFonts w:ascii="宋体" w:hAnsi="宋体" w:eastAsia="宋体" w:cs="宋体"/>
              </w:rPr>
            </w:pPr>
            <w:r>
              <w:rPr>
                <w:rFonts w:hint="eastAsia" w:ascii="宋体" w:hAnsi="宋体" w:eastAsia="宋体" w:cs="宋体"/>
              </w:rPr>
              <w:t>5.志愿者团队25人整体费用.（校方负责招募，供应商管理）​</w:t>
            </w:r>
          </w:p>
          <w:p w14:paraId="1636B783">
            <w:pPr>
              <w:spacing w:line="360" w:lineRule="auto"/>
              <w:rPr>
                <w:rFonts w:ascii="宋体" w:hAnsi="宋体" w:eastAsia="宋体" w:cs="宋体"/>
              </w:rPr>
            </w:pPr>
            <w:r>
              <w:rPr>
                <w:rFonts w:hint="eastAsia" w:ascii="宋体" w:hAnsi="宋体" w:eastAsia="宋体" w:cs="宋体"/>
              </w:rPr>
              <w:t>签到引导6人、赛事协调6人、后勤保障7人、应急服务6人</w:t>
            </w:r>
          </w:p>
          <w:p w14:paraId="2231063E">
            <w:pPr>
              <w:spacing w:line="360" w:lineRule="auto"/>
              <w:rPr>
                <w:rFonts w:ascii="宋体" w:hAnsi="宋体" w:eastAsia="宋体" w:cs="宋体"/>
              </w:rPr>
            </w:pPr>
            <w:r>
              <w:rPr>
                <w:rFonts w:hint="eastAsia" w:ascii="宋体" w:hAnsi="宋体" w:eastAsia="宋体" w:cs="宋体"/>
              </w:rPr>
              <w:t>6. 评委接机接站服务。提前一周收集所有评委嘉宾的姓名、航班号/车次、抵达时间、抵达站点，手机号码，制作《嘉宾抵离信息表》。（评委10人）</w:t>
            </w:r>
          </w:p>
          <w:p w14:paraId="3F28875F">
            <w:pPr>
              <w:spacing w:line="360" w:lineRule="auto"/>
              <w:rPr>
                <w:rFonts w:ascii="宋体" w:hAnsi="宋体" w:eastAsia="宋体" w:cs="宋体"/>
              </w:rPr>
            </w:pPr>
            <w:r>
              <w:rPr>
                <w:rFonts w:hint="eastAsia" w:ascii="宋体" w:hAnsi="宋体" w:eastAsia="宋体" w:cs="宋体"/>
              </w:rPr>
              <w:t>时间相近、地点相同优先合并：将抵达时间相差在30-60分钟内的、同一机场或火车站的人安排在同一辆车上。</w:t>
            </w:r>
          </w:p>
          <w:p w14:paraId="62F5C3A6">
            <w:pPr>
              <w:spacing w:line="360" w:lineRule="auto"/>
              <w:rPr>
                <w:rFonts w:ascii="宋体" w:hAnsi="宋体" w:eastAsia="宋体" w:cs="宋体"/>
              </w:rPr>
            </w:pPr>
            <w:r>
              <w:rPr>
                <w:rFonts w:hint="eastAsia" w:ascii="宋体" w:hAnsi="宋体" w:eastAsia="宋体" w:cs="宋体"/>
              </w:rPr>
              <w:t>车型选择：3-4人：7座商务车或4座轿车</w:t>
            </w:r>
          </w:p>
          <w:p w14:paraId="32DB81A1">
            <w:pPr>
              <w:spacing w:line="360" w:lineRule="auto"/>
              <w:rPr>
                <w:rFonts w:ascii="宋体" w:hAnsi="宋体" w:eastAsia="宋体" w:cs="宋体"/>
              </w:rPr>
            </w:pPr>
            <w:r>
              <w:rPr>
                <w:rFonts w:hint="eastAsia" w:ascii="宋体" w:hAnsi="宋体" w:eastAsia="宋体" w:cs="宋体"/>
              </w:rPr>
              <w:t>7.安排车辆负责评委赛事期间接送工作。</w:t>
            </w:r>
          </w:p>
          <w:p w14:paraId="59F927C3">
            <w:pPr>
              <w:spacing w:line="360" w:lineRule="auto"/>
              <w:rPr>
                <w:rFonts w:ascii="宋体" w:hAnsi="宋体" w:eastAsia="宋体" w:cs="宋体"/>
              </w:rPr>
            </w:pPr>
            <w:r>
              <w:rPr>
                <w:rFonts w:hint="eastAsia" w:ascii="宋体" w:hAnsi="宋体" w:eastAsia="宋体" w:cs="宋体"/>
              </w:rPr>
              <w:t>赛前从酒店到赛场，赛后从赛场到酒店。评委+嘉宾 30人，安排1辆豪华中巴（可容纳20-23人/辆）另备 1辆商务轿车作为机动和领导用车。</w:t>
            </w:r>
          </w:p>
          <w:p w14:paraId="3268E3DD">
            <w:pPr>
              <w:spacing w:line="360" w:lineRule="auto"/>
              <w:rPr>
                <w:rFonts w:ascii="宋体" w:hAnsi="宋体" w:eastAsia="宋体" w:cs="宋体"/>
              </w:rPr>
            </w:pPr>
            <w:r>
              <w:rPr>
                <w:rFonts w:hint="eastAsia" w:ascii="宋体" w:hAnsi="宋体" w:eastAsia="宋体" w:cs="宋体"/>
              </w:rPr>
              <w:t>8.评审专家和嘉宾15人会议期间的住宿（按2晚计）</w:t>
            </w:r>
          </w:p>
          <w:p w14:paraId="380CB982">
            <w:pPr>
              <w:spacing w:line="360" w:lineRule="auto"/>
              <w:rPr>
                <w:rFonts w:ascii="宋体" w:hAnsi="宋体" w:eastAsia="宋体" w:cs="宋体"/>
              </w:rPr>
            </w:pPr>
            <w:r>
              <w:rPr>
                <w:rFonts w:hint="eastAsia" w:ascii="宋体" w:hAnsi="宋体" w:eastAsia="宋体" w:cs="宋体"/>
              </w:rPr>
              <w:t>住宿标准：350元/天/人*2天</w:t>
            </w:r>
          </w:p>
          <w:p w14:paraId="4B9255CF">
            <w:pPr>
              <w:spacing w:line="360" w:lineRule="auto"/>
              <w:rPr>
                <w:rFonts w:ascii="宋体" w:hAnsi="宋体" w:eastAsia="宋体" w:cs="宋体"/>
              </w:rPr>
            </w:pPr>
            <w:r>
              <w:rPr>
                <w:rFonts w:hint="eastAsia" w:ascii="宋体" w:hAnsi="宋体" w:eastAsia="宋体" w:cs="宋体"/>
              </w:rPr>
              <w:t>9.参赛选手80人，评委及嘉宾15人及全职工作人员10人，志愿20人参赛期间的工作餐</w:t>
            </w:r>
          </w:p>
          <w:p w14:paraId="7E33AD9C">
            <w:pPr>
              <w:spacing w:line="360" w:lineRule="auto"/>
            </w:pPr>
            <w:r>
              <w:rPr>
                <w:rFonts w:hint="eastAsia" w:ascii="宋体" w:hAnsi="宋体" w:eastAsia="宋体" w:cs="宋体"/>
              </w:rPr>
              <w:t>用餐标准：20元/人/餐*3餐</w:t>
            </w:r>
          </w:p>
        </w:tc>
      </w:tr>
      <w:tr w14:paraId="2D1E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735C6A50">
            <w:pPr>
              <w:pStyle w:val="6"/>
            </w:pPr>
            <w:r>
              <w:rPr>
                <w:rFonts w:hint="eastAsia"/>
              </w:rPr>
              <w:t>3</w:t>
            </w:r>
          </w:p>
        </w:tc>
        <w:tc>
          <w:tcPr>
            <w:tcW w:w="1217" w:type="dxa"/>
            <w:vAlign w:val="center"/>
          </w:tcPr>
          <w:p w14:paraId="3EB5155D">
            <w:pPr>
              <w:pStyle w:val="6"/>
            </w:pPr>
            <w:r>
              <w:t>▲</w:t>
            </w:r>
          </w:p>
        </w:tc>
        <w:tc>
          <w:tcPr>
            <w:tcW w:w="2039" w:type="dxa"/>
            <w:vAlign w:val="center"/>
          </w:tcPr>
          <w:p w14:paraId="1C44AAB4">
            <w:pPr>
              <w:pStyle w:val="6"/>
              <w:ind w:firstLine="0" w:firstLineChars="0"/>
            </w:pPr>
            <w:r>
              <w:rPr>
                <w:rFonts w:hint="eastAsia"/>
              </w:rPr>
              <w:t>颁奖晚会服务</w:t>
            </w:r>
          </w:p>
        </w:tc>
        <w:tc>
          <w:tcPr>
            <w:tcW w:w="4111" w:type="dxa"/>
          </w:tcPr>
          <w:p w14:paraId="23A25015">
            <w:pPr>
              <w:spacing w:line="360" w:lineRule="auto"/>
              <w:rPr>
                <w:rFonts w:ascii="宋体" w:hAnsi="宋体" w:eastAsia="宋体" w:cs="宋体"/>
              </w:rPr>
            </w:pPr>
            <w:r>
              <w:rPr>
                <w:rFonts w:hint="eastAsia" w:ascii="宋体" w:hAnsi="宋体" w:eastAsia="宋体" w:cs="宋体"/>
              </w:rPr>
              <w:t>1.供应商提供晚会所需物料策划、设计与制作。提交的决赛颁奖典礼整体方案,需包含一份详尽的、具有可操作性的流程安排。</w:t>
            </w:r>
          </w:p>
          <w:p w14:paraId="261386D8">
            <w:pPr>
              <w:spacing w:line="360" w:lineRule="auto"/>
              <w:rPr>
                <w:rFonts w:ascii="宋体" w:hAnsi="宋体" w:eastAsia="宋体" w:cs="宋体"/>
              </w:rPr>
            </w:pPr>
            <w:r>
              <w:rPr>
                <w:rFonts w:hint="eastAsia" w:ascii="宋体" w:hAnsi="宋体" w:eastAsia="宋体" w:cs="宋体"/>
              </w:rPr>
              <w:t>2.供应商提供晚会舞台（雷亚架、Truss架）、灯光（电脑摇头光束灯、LDE染色灯、LED面光灯、电脑摇头图案灯、追光灯、灯光控制台、电源直通柜、线材）、音响（全频线性阵列音箱（主扩）、返听音箱、超重低音箱、音频控制台、无线手持话筒、话筒信号放大器、处理器、音响工作站、直通柜、线材）的搭建、布置与技术保障。</w:t>
            </w:r>
          </w:p>
          <w:p w14:paraId="187FD02A">
            <w:pPr>
              <w:spacing w:line="360" w:lineRule="auto"/>
              <w:rPr>
                <w:rFonts w:ascii="宋体" w:hAnsi="宋体" w:eastAsia="宋体" w:cs="宋体"/>
              </w:rPr>
            </w:pPr>
            <w:r>
              <w:rPr>
                <w:rFonts w:hint="eastAsia" w:ascii="宋体" w:hAnsi="宋体" w:eastAsia="宋体" w:cs="宋体"/>
              </w:rPr>
              <w:t>3.供应商提供晚会主持人的推荐、对接与相关服务。（2 位主持人）</w:t>
            </w:r>
          </w:p>
          <w:p w14:paraId="3DFD4DD8">
            <w:pPr>
              <w:spacing w:line="360" w:lineRule="auto"/>
              <w:rPr>
                <w:rFonts w:ascii="宋体" w:hAnsi="宋体" w:eastAsia="宋体" w:cs="宋体"/>
              </w:rPr>
            </w:pPr>
            <w:r>
              <w:rPr>
                <w:rFonts w:hint="eastAsia" w:ascii="宋体" w:hAnsi="宋体" w:eastAsia="宋体" w:cs="宋体"/>
              </w:rPr>
              <w:t>应具备省级大型活动或电视节目主持经验，形象气质佳，应变能力强。资料提供：提供主持人的详细简历、形象照和主持样片供采购方遴选。）</w:t>
            </w:r>
          </w:p>
          <w:p w14:paraId="5A754919">
            <w:pPr>
              <w:spacing w:line="360" w:lineRule="auto"/>
              <w:rPr>
                <w:rFonts w:ascii="宋体" w:hAnsi="宋体" w:eastAsia="宋体" w:cs="宋体"/>
              </w:rPr>
            </w:pPr>
            <w:r>
              <w:rPr>
                <w:rFonts w:hint="eastAsia" w:ascii="宋体" w:hAnsi="宋体" w:eastAsia="宋体" w:cs="宋体"/>
              </w:rPr>
              <w:t>4.供应商提供化妆服务：为主持人及全体演员提供专业化妆、发型设计服务</w:t>
            </w:r>
          </w:p>
          <w:p w14:paraId="534D6A3B">
            <w:pPr>
              <w:pStyle w:val="6"/>
              <w:ind w:firstLine="0" w:firstLineChars="0"/>
              <w:jc w:val="both"/>
            </w:pPr>
          </w:p>
        </w:tc>
      </w:tr>
      <w:tr w14:paraId="4B1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660EB15F">
            <w:pPr>
              <w:pStyle w:val="6"/>
            </w:pPr>
            <w:r>
              <w:rPr>
                <w:rFonts w:hint="eastAsia"/>
              </w:rPr>
              <w:t>4</w:t>
            </w:r>
          </w:p>
        </w:tc>
        <w:tc>
          <w:tcPr>
            <w:tcW w:w="1217" w:type="dxa"/>
            <w:vAlign w:val="center"/>
          </w:tcPr>
          <w:p w14:paraId="7FD0B9E0">
            <w:pPr>
              <w:pStyle w:val="6"/>
              <w:ind w:firstLine="241"/>
            </w:pPr>
            <w:r>
              <w:rPr>
                <w:rFonts w:hint="eastAsia"/>
                <w:b/>
                <w:bCs/>
                <w:snapToGrid w:val="0"/>
                <w:lang w:val="zh-CN"/>
              </w:rPr>
              <w:t>★</w:t>
            </w:r>
          </w:p>
        </w:tc>
        <w:tc>
          <w:tcPr>
            <w:tcW w:w="2039" w:type="dxa"/>
            <w:vAlign w:val="center"/>
          </w:tcPr>
          <w:p w14:paraId="5AD0B386">
            <w:pPr>
              <w:pStyle w:val="6"/>
              <w:ind w:firstLine="0" w:firstLineChars="0"/>
            </w:pPr>
            <w:r>
              <w:rPr>
                <w:rFonts w:hint="eastAsia"/>
              </w:rPr>
              <w:t>同期活动</w:t>
            </w:r>
          </w:p>
        </w:tc>
        <w:tc>
          <w:tcPr>
            <w:tcW w:w="4111" w:type="dxa"/>
          </w:tcPr>
          <w:p w14:paraId="604B4AA4">
            <w:pPr>
              <w:spacing w:line="400" w:lineRule="exact"/>
              <w:rPr>
                <w:rFonts w:ascii="宋体" w:hAnsi="宋体" w:eastAsia="宋体" w:cs="宋体"/>
                <w:szCs w:val="21"/>
              </w:rPr>
            </w:pPr>
            <w:r>
              <w:rPr>
                <w:rFonts w:hint="eastAsia" w:ascii="宋体" w:hAnsi="宋体" w:cs="宋体"/>
                <w:szCs w:val="21"/>
              </w:rPr>
              <w:t>3.1</w:t>
            </w:r>
            <w:r>
              <w:rPr>
                <w:rFonts w:hint="eastAsia" w:ascii="宋体" w:hAnsi="宋体" w:eastAsia="宋体" w:cs="宋体"/>
                <w:szCs w:val="21"/>
              </w:rPr>
              <w:t>建设内容</w:t>
            </w:r>
          </w:p>
          <w:p w14:paraId="6FD0C4EB">
            <w:pPr>
              <w:spacing w:line="400" w:lineRule="exact"/>
              <w:rPr>
                <w:rFonts w:ascii="宋体" w:hAnsi="宋体" w:eastAsia="宋体" w:cs="宋体"/>
                <w:szCs w:val="21"/>
              </w:rPr>
            </w:pPr>
            <w:r>
              <w:rPr>
                <w:rFonts w:hint="eastAsia" w:ascii="宋体" w:hAnsi="宋体" w:eastAsia="宋体" w:cs="宋体"/>
                <w:szCs w:val="21"/>
              </w:rPr>
              <w:t>生涯体验周活动需至少包括四大模块：自我探索、外部世界探索、个人定位、行动计划。响应人需在本次活动期间提供生涯活动平台使用服务。</w:t>
            </w:r>
          </w:p>
          <w:p w14:paraId="528EBF9D">
            <w:pPr>
              <w:spacing w:line="400" w:lineRule="exact"/>
              <w:rPr>
                <w:rFonts w:ascii="宋体" w:hAnsi="宋体" w:eastAsia="宋体" w:cs="宋体"/>
                <w:szCs w:val="21"/>
              </w:rPr>
            </w:pPr>
            <w:r>
              <w:rPr>
                <w:rFonts w:hint="eastAsia" w:ascii="宋体" w:hAnsi="宋体" w:cs="宋体"/>
                <w:szCs w:val="21"/>
              </w:rPr>
              <w:t>3.2</w:t>
            </w:r>
            <w:r>
              <w:rPr>
                <w:rFonts w:hint="eastAsia" w:ascii="宋体" w:hAnsi="宋体" w:eastAsia="宋体" w:cs="宋体"/>
                <w:szCs w:val="21"/>
              </w:rPr>
              <w:t>活动数据</w:t>
            </w:r>
          </w:p>
          <w:p w14:paraId="765FBD53">
            <w:pPr>
              <w:numPr>
                <w:ilvl w:val="0"/>
                <w:numId w:val="1"/>
              </w:numPr>
              <w:spacing w:line="400" w:lineRule="exact"/>
              <w:rPr>
                <w:rFonts w:ascii="宋体" w:hAnsi="宋体" w:eastAsia="宋体" w:cs="宋体"/>
                <w:szCs w:val="21"/>
              </w:rPr>
            </w:pPr>
            <w:r>
              <w:rPr>
                <w:rFonts w:hint="eastAsia" w:ascii="宋体" w:hAnsi="宋体" w:eastAsia="宋体" w:cs="宋体"/>
                <w:szCs w:val="21"/>
              </w:rPr>
              <w:t>学生需通过微信小程序进入，学生在平台完成线上打卡后，需支持对打卡记录进行留存，方便学生在活动结束后随时调取相关参与结果，加深对活动的认识。</w:t>
            </w:r>
          </w:p>
          <w:p w14:paraId="2F8DCE2C">
            <w:pPr>
              <w:numPr>
                <w:ilvl w:val="0"/>
                <w:numId w:val="1"/>
              </w:numPr>
              <w:spacing w:line="400" w:lineRule="exact"/>
              <w:rPr>
                <w:rFonts w:ascii="宋体" w:hAnsi="宋体" w:eastAsia="宋体" w:cs="宋体"/>
                <w:szCs w:val="21"/>
              </w:rPr>
            </w:pPr>
            <w:r>
              <w:rPr>
                <w:rFonts w:hint="eastAsia" w:ascii="宋体" w:hAnsi="宋体" w:eastAsia="宋体" w:cs="宋体"/>
                <w:szCs w:val="21"/>
              </w:rPr>
              <w:t>系统需支持用户注册数≥10万人，同时在线人数≥4000人，系统在稳定性、安全性、可靠性方面要有严格的保障。实现7×24小时不间断运行；页面响应≤3秒；检索响应≤3秒；视频点播响应≤10秒。</w:t>
            </w:r>
          </w:p>
          <w:p w14:paraId="27C3D9F3">
            <w:pPr>
              <w:numPr>
                <w:ilvl w:val="0"/>
                <w:numId w:val="1"/>
              </w:numPr>
              <w:spacing w:line="400" w:lineRule="exact"/>
              <w:rPr>
                <w:rFonts w:ascii="宋体" w:hAnsi="宋体" w:eastAsia="宋体" w:cs="宋体"/>
                <w:szCs w:val="21"/>
              </w:rPr>
            </w:pPr>
            <w:r>
              <w:rPr>
                <w:rFonts w:hint="eastAsia" w:ascii="宋体" w:hAnsi="宋体" w:eastAsia="宋体" w:cs="宋体"/>
                <w:szCs w:val="21"/>
              </w:rPr>
              <w:t>学生在线下完成关卡后，为学生提供线上打卡功能，完成对学生游戏参与的线上统计和数据分析。</w:t>
            </w:r>
          </w:p>
          <w:p w14:paraId="084B758D">
            <w:pPr>
              <w:numPr>
                <w:ilvl w:val="0"/>
                <w:numId w:val="1"/>
              </w:numPr>
              <w:spacing w:line="400" w:lineRule="exact"/>
              <w:rPr>
                <w:rFonts w:ascii="宋体" w:hAnsi="宋体" w:eastAsia="宋体" w:cs="宋体"/>
                <w:szCs w:val="21"/>
              </w:rPr>
            </w:pPr>
            <w:r>
              <w:rPr>
                <w:rFonts w:hint="eastAsia" w:ascii="宋体" w:hAnsi="宋体" w:eastAsia="宋体" w:cs="宋体"/>
                <w:szCs w:val="21"/>
              </w:rPr>
              <w:t>对打卡记录进行留存，方便学生在活动结束后随时调取相关参与结果，加深对活动的认识。</w:t>
            </w:r>
          </w:p>
          <w:p w14:paraId="5C9E97A8">
            <w:pPr>
              <w:numPr>
                <w:ilvl w:val="0"/>
                <w:numId w:val="1"/>
              </w:numPr>
              <w:spacing w:line="400" w:lineRule="exact"/>
              <w:rPr>
                <w:rFonts w:ascii="宋体" w:hAnsi="宋体" w:eastAsia="宋体" w:cs="宋体"/>
                <w:szCs w:val="21"/>
              </w:rPr>
            </w:pPr>
            <w:r>
              <w:rPr>
                <w:rFonts w:hint="eastAsia" w:ascii="宋体" w:hAnsi="宋体" w:eastAsia="宋体" w:cs="宋体"/>
                <w:szCs w:val="21"/>
              </w:rPr>
              <w:t>学生参加活动期间，平台需提供线上问卷调查功能，问卷内容可学校自行动态填写配置。</w:t>
            </w:r>
          </w:p>
          <w:p w14:paraId="554D5D56">
            <w:pPr>
              <w:numPr>
                <w:ilvl w:val="0"/>
                <w:numId w:val="1"/>
              </w:numPr>
              <w:spacing w:line="400" w:lineRule="exact"/>
              <w:rPr>
                <w:rFonts w:ascii="宋体" w:hAnsi="宋体" w:eastAsia="宋体" w:cs="宋体"/>
                <w:szCs w:val="21"/>
              </w:rPr>
            </w:pPr>
            <w:r>
              <w:rPr>
                <w:rFonts w:hint="eastAsia" w:ascii="宋体" w:hAnsi="宋体" w:eastAsia="宋体" w:cs="宋体"/>
                <w:szCs w:val="21"/>
              </w:rPr>
              <w:t>需支持对学生活动过程中产生的信息及操作进行实时数据留痕，线上生成咨询报告并导出。同时，可对专业及岗位介绍资源进行进度统计。支持查看专业导读资源及岗位介绍资源创建时间及观看次数等信息，支持按照按院系、专业、班级等维度对学生参与的活动情况，进行多维度统计分析、查询和下载的功能。</w:t>
            </w:r>
          </w:p>
          <w:p w14:paraId="64DF5E0D">
            <w:pPr>
              <w:numPr>
                <w:ilvl w:val="0"/>
                <w:numId w:val="1"/>
              </w:numPr>
              <w:spacing w:line="400" w:lineRule="exact"/>
              <w:rPr>
                <w:rFonts w:ascii="宋体" w:hAnsi="宋体" w:eastAsia="宋体" w:cs="宋体"/>
                <w:szCs w:val="21"/>
              </w:rPr>
            </w:pPr>
            <w:r>
              <w:rPr>
                <w:rFonts w:hint="eastAsia" w:ascii="宋体" w:hAnsi="宋体" w:eastAsia="宋体" w:cs="宋体"/>
                <w:szCs w:val="21"/>
              </w:rPr>
              <w:t>★需为学生提供活动中、活动后的专业相关问题咨询解决渠道，平台需内置专业短视频介绍，内置专业导读需涵盖学校现在专业，数量不少于600个，每个专业导读资源需涵盖包括专业简介、培养目标、发展方向、就业前景、重点学科院校等内容。</w:t>
            </w:r>
            <w:r>
              <w:rPr>
                <w:rFonts w:hint="eastAsia" w:ascii="宋体" w:hAnsi="宋体" w:eastAsia="宋体" w:cs="宋体"/>
                <w:b/>
                <w:bCs/>
                <w:szCs w:val="21"/>
              </w:rPr>
              <w:t>响应人需提供功能截图。</w:t>
            </w:r>
          </w:p>
          <w:p w14:paraId="0AF68593">
            <w:pPr>
              <w:numPr>
                <w:ilvl w:val="0"/>
                <w:numId w:val="1"/>
              </w:numPr>
              <w:spacing w:line="400" w:lineRule="exact"/>
              <w:rPr>
                <w:rFonts w:ascii="宋体" w:hAnsi="宋体" w:eastAsia="宋体" w:cs="宋体"/>
                <w:szCs w:val="21"/>
              </w:rPr>
            </w:pPr>
            <w:r>
              <w:rPr>
                <w:rFonts w:hint="eastAsia" w:ascii="宋体" w:hAnsi="宋体" w:eastAsia="宋体" w:cs="宋体"/>
                <w:szCs w:val="21"/>
              </w:rPr>
              <w:t>★需为学生提供活动中、活动后的岗位相关问题咨询解决渠道，需内置岗位短视频介绍，数量需≥100个，整体以视频化呈现。每个认识岗位需涵盖文字资源介绍，内容包括：岗位介绍、岗位职责、能力要求、发展方向等。</w:t>
            </w:r>
            <w:r>
              <w:rPr>
                <w:rFonts w:hint="eastAsia" w:ascii="宋体" w:hAnsi="宋体" w:eastAsia="宋体" w:cs="宋体"/>
                <w:b/>
                <w:bCs/>
                <w:szCs w:val="21"/>
              </w:rPr>
              <w:t>响应人需提供功能截图。</w:t>
            </w:r>
          </w:p>
          <w:p w14:paraId="5AA8BDDD">
            <w:pPr>
              <w:numPr>
                <w:ilvl w:val="0"/>
                <w:numId w:val="1"/>
              </w:numPr>
              <w:spacing w:line="400" w:lineRule="exact"/>
              <w:rPr>
                <w:rFonts w:ascii="宋体" w:hAnsi="宋体" w:eastAsia="宋体" w:cs="宋体"/>
                <w:szCs w:val="21"/>
              </w:rPr>
            </w:pPr>
            <w:r>
              <w:rPr>
                <w:rFonts w:hint="eastAsia" w:ascii="宋体" w:hAnsi="宋体" w:eastAsia="宋体" w:cs="宋体"/>
                <w:szCs w:val="21"/>
              </w:rPr>
              <w:t>需支持对学生活动过程中产生的信息及操作进行实时数据留痕，线上生成咨询报告并导出。支持按照院系、专业、班级等维度对学生参与的活动情况，进行多维度统计分析、查询和下载的功能。</w:t>
            </w:r>
          </w:p>
          <w:p w14:paraId="69476680">
            <w:pPr>
              <w:numPr>
                <w:ilvl w:val="0"/>
                <w:numId w:val="1"/>
              </w:numPr>
              <w:spacing w:line="400" w:lineRule="exact"/>
              <w:rPr>
                <w:rFonts w:ascii="宋体" w:hAnsi="宋体" w:eastAsia="宋体" w:cs="宋体"/>
                <w:szCs w:val="21"/>
              </w:rPr>
            </w:pPr>
            <w:r>
              <w:rPr>
                <w:rFonts w:hint="eastAsia" w:ascii="宋体" w:hAnsi="宋体" w:eastAsia="宋体" w:cs="宋体"/>
                <w:szCs w:val="21"/>
              </w:rPr>
              <w:t>平台需提供测试工具供学生使用，测试工具的种类≥5类。学生可通过移动端进行多次重复测评，生成职业测评数据报告，学生可在移动端查看自己的职业测评结果，如果职业测评过多次，则分别显示多次的职业测评结果。</w:t>
            </w:r>
          </w:p>
          <w:p w14:paraId="3652632B">
            <w:pPr>
              <w:numPr>
                <w:ilvl w:val="0"/>
                <w:numId w:val="1"/>
              </w:numPr>
              <w:spacing w:line="400" w:lineRule="exact"/>
              <w:rPr>
                <w:rFonts w:ascii="宋体" w:hAnsi="宋体" w:eastAsia="宋体" w:cs="宋体"/>
                <w:szCs w:val="21"/>
              </w:rPr>
            </w:pPr>
            <w:r>
              <w:rPr>
                <w:rFonts w:hint="eastAsia" w:ascii="宋体" w:hAnsi="宋体" w:eastAsia="宋体" w:cs="宋体"/>
                <w:szCs w:val="21"/>
              </w:rPr>
              <w:t>★平台可以实现对各学院学生的职业测评进度和结果进行统计，并以图、表形式进行展示。</w:t>
            </w:r>
            <w:r>
              <w:rPr>
                <w:rFonts w:hint="eastAsia" w:ascii="宋体" w:hAnsi="宋体" w:eastAsia="宋体" w:cs="宋体"/>
                <w:b/>
                <w:bCs/>
                <w:szCs w:val="21"/>
              </w:rPr>
              <w:t>响应人需提供</w:t>
            </w:r>
            <w:r>
              <w:rPr>
                <w:rFonts w:hint="eastAsia" w:ascii="宋体" w:hAnsi="宋体" w:cs="宋体"/>
                <w:b/>
                <w:bCs/>
                <w:szCs w:val="21"/>
              </w:rPr>
              <w:t>功能</w:t>
            </w:r>
            <w:r>
              <w:rPr>
                <w:rFonts w:hint="eastAsia" w:ascii="宋体" w:hAnsi="宋体" w:eastAsia="宋体" w:cs="宋体"/>
                <w:b/>
                <w:bCs/>
                <w:szCs w:val="21"/>
              </w:rPr>
              <w:t>截图。</w:t>
            </w:r>
          </w:p>
          <w:p w14:paraId="7D5079F4">
            <w:pPr>
              <w:spacing w:line="400" w:lineRule="exact"/>
              <w:rPr>
                <w:rFonts w:ascii="宋体" w:hAnsi="宋体" w:eastAsia="宋体" w:cs="宋体"/>
                <w:szCs w:val="21"/>
              </w:rPr>
            </w:pPr>
            <w:r>
              <w:rPr>
                <w:rFonts w:hint="eastAsia" w:ascii="宋体" w:hAnsi="宋体" w:cs="宋体"/>
                <w:szCs w:val="21"/>
              </w:rPr>
              <w:t>3.3</w:t>
            </w:r>
            <w:r>
              <w:rPr>
                <w:rFonts w:hint="eastAsia" w:ascii="宋体" w:hAnsi="宋体" w:eastAsia="宋体" w:cs="宋体"/>
                <w:szCs w:val="21"/>
              </w:rPr>
              <w:t>活动内容</w:t>
            </w:r>
          </w:p>
          <w:p w14:paraId="69C2722F">
            <w:pPr>
              <w:spacing w:line="400" w:lineRule="exact"/>
              <w:ind w:left="420" w:leftChars="200"/>
              <w:rPr>
                <w:rFonts w:ascii="宋体" w:hAnsi="宋体" w:eastAsia="宋体" w:cs="宋体"/>
                <w:szCs w:val="21"/>
              </w:rPr>
            </w:pPr>
            <w:r>
              <w:rPr>
                <w:rFonts w:hint="eastAsia" w:ascii="宋体" w:hAnsi="宋体" w:eastAsia="宋体" w:cs="宋体"/>
                <w:szCs w:val="21"/>
              </w:rPr>
              <w:t>响应人需提供活动整体方案，方案中需包括但不限于四大活动模块：自我探索、外部世界探索、个人定位、行动计划等。针对每个模块设置不同体验感的活动，活动数量至少10个。通过沉浸式活动，让学生亲身体验，学习职业生涯规划与就业相关知识，引导学生合理规划大学生活，有针对性的培养职业能力，提升求职技能，做好向职场人转变的准备。部分活动内容须能提供合理的线上参与入口。活动进展情况可在数据可视化展示中实时查看、统计。活动设置目标如下：</w:t>
            </w:r>
          </w:p>
          <w:p w14:paraId="5021E711">
            <w:pPr>
              <w:numPr>
                <w:ilvl w:val="0"/>
                <w:numId w:val="2"/>
              </w:numPr>
              <w:spacing w:line="400" w:lineRule="exact"/>
              <w:rPr>
                <w:rFonts w:ascii="宋体" w:hAnsi="宋体" w:eastAsia="宋体" w:cs="宋体"/>
                <w:szCs w:val="21"/>
              </w:rPr>
            </w:pPr>
            <w:r>
              <w:rPr>
                <w:rFonts w:hint="eastAsia" w:ascii="宋体" w:hAnsi="宋体" w:eastAsia="宋体" w:cs="宋体"/>
                <w:szCs w:val="21"/>
              </w:rPr>
              <w:t>自我探索</w:t>
            </w:r>
          </w:p>
          <w:p w14:paraId="50E410F3">
            <w:pPr>
              <w:numPr>
                <w:ilvl w:val="0"/>
                <w:numId w:val="3"/>
              </w:numPr>
              <w:spacing w:line="400" w:lineRule="exact"/>
              <w:rPr>
                <w:rFonts w:ascii="宋体" w:hAnsi="宋体" w:eastAsia="宋体" w:cs="宋体"/>
                <w:szCs w:val="21"/>
              </w:rPr>
            </w:pPr>
            <w:r>
              <w:rPr>
                <w:rFonts w:hint="eastAsia" w:ascii="宋体" w:hAnsi="宋体" w:eastAsia="宋体" w:cs="宋体"/>
                <w:szCs w:val="21"/>
              </w:rPr>
              <w:t>通过简易版MBTI测试，学生自行探索性格特点，从动力、信息收集、决策方式、生活方式四个方向分析，判定自己的职业性格。活动形式：线上+线下。</w:t>
            </w:r>
          </w:p>
          <w:p w14:paraId="435D9B4D">
            <w:pPr>
              <w:numPr>
                <w:ilvl w:val="0"/>
                <w:numId w:val="3"/>
              </w:numPr>
              <w:spacing w:line="400" w:lineRule="exact"/>
              <w:rPr>
                <w:rFonts w:ascii="宋体" w:hAnsi="宋体" w:eastAsia="宋体" w:cs="宋体"/>
                <w:szCs w:val="21"/>
              </w:rPr>
            </w:pPr>
            <w:r>
              <w:rPr>
                <w:rFonts w:hint="eastAsia" w:ascii="宋体" w:hAnsi="宋体" w:eastAsia="宋体" w:cs="宋体"/>
                <w:szCs w:val="21"/>
              </w:rPr>
              <w:t>根据魔方选择的形式，让学生明晰自己的职业兴趣。基于兴趣驱动学习理论，通过这种趣味性的游戏方式，帮助学生探索自己的职业兴趣，将抽象的职业兴趣具象化，为职业选择提供兴趣方面的参考依据。活动形式：线上+线下。</w:t>
            </w:r>
          </w:p>
          <w:p w14:paraId="6BF71B00">
            <w:pPr>
              <w:numPr>
                <w:ilvl w:val="0"/>
                <w:numId w:val="3"/>
              </w:numPr>
              <w:spacing w:line="400" w:lineRule="exact"/>
              <w:rPr>
                <w:rFonts w:ascii="宋体" w:hAnsi="宋体" w:eastAsia="宋体" w:cs="宋体"/>
                <w:szCs w:val="21"/>
              </w:rPr>
            </w:pPr>
            <w:r>
              <w:rPr>
                <w:rFonts w:hint="eastAsia" w:ascii="宋体" w:hAnsi="宋体" w:eastAsia="宋体" w:cs="宋体"/>
                <w:szCs w:val="21"/>
              </w:rPr>
              <w:t>通过投掷骰子并执行对应动作的模式，让学生体验在成长过程中需要的坎坷与问题。基于体验式学习理论，让学生在虚拟的人生情境中体验不同阶段的挑战和机遇，深刻理解职业决策对人生发展的重要影响，从而提升职业决策能力，学会综合考虑各种因素做出合理的职业选择。活动形式：线上+线下。</w:t>
            </w:r>
          </w:p>
          <w:p w14:paraId="7C460B52">
            <w:pPr>
              <w:spacing w:line="400" w:lineRule="exact"/>
              <w:rPr>
                <w:rFonts w:ascii="宋体" w:hAnsi="宋体" w:eastAsia="宋体" w:cs="宋体"/>
                <w:szCs w:val="21"/>
              </w:rPr>
            </w:pPr>
            <w:r>
              <w:rPr>
                <w:rFonts w:hint="eastAsia" w:ascii="宋体" w:hAnsi="宋体" w:cs="宋体"/>
                <w:szCs w:val="21"/>
              </w:rPr>
              <w:t>（2）</w:t>
            </w:r>
            <w:r>
              <w:rPr>
                <w:rFonts w:hint="eastAsia" w:ascii="宋体" w:hAnsi="宋体" w:eastAsia="宋体" w:cs="宋体"/>
                <w:szCs w:val="21"/>
              </w:rPr>
              <w:t>外部世界探索</w:t>
            </w:r>
          </w:p>
          <w:p w14:paraId="122CF014">
            <w:pPr>
              <w:numPr>
                <w:ilvl w:val="0"/>
                <w:numId w:val="4"/>
              </w:numPr>
              <w:spacing w:line="400" w:lineRule="exact"/>
              <w:rPr>
                <w:rFonts w:ascii="宋体" w:hAnsi="宋体" w:eastAsia="宋体" w:cs="宋体"/>
                <w:szCs w:val="21"/>
              </w:rPr>
            </w:pPr>
            <w:r>
              <w:rPr>
                <w:rFonts w:hint="eastAsia" w:ascii="宋体" w:hAnsi="宋体" w:eastAsia="宋体" w:cs="宋体"/>
                <w:szCs w:val="21"/>
              </w:rPr>
              <w:t>通过游戏了解行业与职业的关系，更好地为自己的职业生涯规划找到多元的路径。活动形式：线上。</w:t>
            </w:r>
          </w:p>
          <w:p w14:paraId="545D3947">
            <w:pPr>
              <w:numPr>
                <w:ilvl w:val="0"/>
                <w:numId w:val="4"/>
              </w:numPr>
              <w:spacing w:line="400" w:lineRule="exact"/>
              <w:rPr>
                <w:rFonts w:ascii="宋体" w:hAnsi="宋体" w:eastAsia="宋体" w:cs="宋体"/>
                <w:szCs w:val="21"/>
              </w:rPr>
            </w:pPr>
            <w:r>
              <w:rPr>
                <w:rFonts w:hint="eastAsia" w:ascii="宋体" w:hAnsi="宋体" w:eastAsia="宋体" w:cs="宋体"/>
                <w:szCs w:val="21"/>
              </w:rPr>
              <w:t>每一个职业有其职业的特色和要求，需支持通过游戏对职业进行充足了解，有效地帮助学生在专业学习上做好合理的规划。活动形式：线下。</w:t>
            </w:r>
          </w:p>
          <w:p w14:paraId="01CDDDB7">
            <w:pPr>
              <w:numPr>
                <w:ilvl w:val="0"/>
                <w:numId w:val="4"/>
              </w:numPr>
              <w:spacing w:line="400" w:lineRule="exact"/>
              <w:rPr>
                <w:rFonts w:ascii="宋体" w:hAnsi="宋体" w:eastAsia="宋体" w:cs="宋体"/>
                <w:szCs w:val="21"/>
              </w:rPr>
            </w:pPr>
            <w:r>
              <w:rPr>
                <w:rFonts w:hint="eastAsia" w:ascii="宋体" w:hAnsi="宋体" w:eastAsia="宋体" w:cs="宋体"/>
                <w:szCs w:val="21"/>
              </w:rPr>
              <w:t>通过手机进行模拟的面试体验。需支持学生在手</w:t>
            </w:r>
            <w:r>
              <w:rPr>
                <w:rFonts w:hint="eastAsia" w:ascii="宋体" w:hAnsi="宋体" w:cs="宋体"/>
                <w:szCs w:val="21"/>
              </w:rPr>
              <w:t xml:space="preserve">           </w:t>
            </w:r>
            <w:r>
              <w:rPr>
                <w:rFonts w:hint="eastAsia" w:ascii="宋体" w:hAnsi="宋体" w:eastAsia="宋体" w:cs="宋体"/>
                <w:szCs w:val="21"/>
              </w:rPr>
              <w:t>机上进行模拟面试，要求有200以上可选择体验面试的岗位，依据实践出真知的原理，让学生在真实的面试和职业情境中锻炼个人能力和职业技巧，了解相关职业的流程和要求，提前适应职场面试和职场环境，发现自己在面试、职场体验的不足之处，从而有针对性地进行提升。活动形式：线上。</w:t>
            </w:r>
          </w:p>
          <w:p w14:paraId="71E4C2F1">
            <w:pPr>
              <w:numPr>
                <w:ilvl w:val="0"/>
                <w:numId w:val="4"/>
              </w:numPr>
              <w:spacing w:line="400" w:lineRule="exact"/>
              <w:rPr>
                <w:rFonts w:ascii="宋体" w:hAnsi="宋体" w:eastAsia="宋体" w:cs="宋体"/>
                <w:szCs w:val="21"/>
              </w:rPr>
            </w:pPr>
            <w:r>
              <w:rPr>
                <w:rFonts w:hint="eastAsia" w:ascii="宋体" w:hAnsi="宋体" w:eastAsia="宋体" w:cs="宋体"/>
                <w:szCs w:val="21"/>
              </w:rPr>
              <w:t>★手机模拟面试系需提供多个面试场景，要求至少包含公务员面试、研究生升学面试，企业面试等。</w:t>
            </w:r>
            <w:r>
              <w:rPr>
                <w:rFonts w:hint="eastAsia" w:ascii="宋体" w:hAnsi="宋体" w:eastAsia="宋体" w:cs="宋体"/>
                <w:b/>
                <w:bCs/>
                <w:szCs w:val="21"/>
              </w:rPr>
              <w:t>响应人需提供功能截图。</w:t>
            </w:r>
          </w:p>
          <w:p w14:paraId="08C68FD6">
            <w:pPr>
              <w:numPr>
                <w:ilvl w:val="0"/>
                <w:numId w:val="4"/>
              </w:numPr>
              <w:spacing w:line="400" w:lineRule="exact"/>
              <w:rPr>
                <w:rFonts w:ascii="宋体" w:hAnsi="宋体" w:eastAsia="宋体" w:cs="宋体"/>
                <w:szCs w:val="21"/>
              </w:rPr>
            </w:pPr>
            <w:r>
              <w:rPr>
                <w:rFonts w:hint="eastAsia" w:ascii="宋体" w:hAnsi="宋体" w:eastAsia="宋体" w:cs="宋体"/>
                <w:szCs w:val="21"/>
              </w:rPr>
              <w:t>★系统使用语音识别技术，将学生的回答内容进行识别并通过AI进行内容分析。系统针对学生的面试给出面试报告，报告内容包含面试得分、答题要点和参考作答。</w:t>
            </w:r>
            <w:r>
              <w:rPr>
                <w:rFonts w:hint="eastAsia" w:ascii="宋体" w:hAnsi="宋体" w:eastAsia="宋体" w:cs="宋体"/>
                <w:b/>
                <w:bCs/>
                <w:szCs w:val="21"/>
              </w:rPr>
              <w:t>响应人需提供功能截图。</w:t>
            </w:r>
          </w:p>
          <w:p w14:paraId="2EEA0494">
            <w:pPr>
              <w:numPr>
                <w:ilvl w:val="0"/>
                <w:numId w:val="4"/>
              </w:numPr>
              <w:spacing w:line="400" w:lineRule="exact"/>
              <w:rPr>
                <w:rFonts w:ascii="宋体" w:hAnsi="宋体" w:eastAsia="宋体" w:cs="宋体"/>
                <w:szCs w:val="21"/>
              </w:rPr>
            </w:pPr>
            <w:r>
              <w:rPr>
                <w:rFonts w:hint="eastAsia" w:ascii="宋体" w:hAnsi="宋体" w:eastAsia="宋体" w:cs="宋体"/>
                <w:szCs w:val="21"/>
              </w:rPr>
              <w:t>★学生参加模拟面试后支持查看面试记录并下载面试视频。</w:t>
            </w:r>
            <w:r>
              <w:rPr>
                <w:rFonts w:hint="eastAsia" w:ascii="宋体" w:hAnsi="宋体" w:eastAsia="宋体" w:cs="宋体"/>
                <w:b/>
                <w:bCs/>
                <w:szCs w:val="21"/>
              </w:rPr>
              <w:t>响应人需提供功能截图。</w:t>
            </w:r>
          </w:p>
          <w:p w14:paraId="67712B97">
            <w:pPr>
              <w:spacing w:line="400" w:lineRule="exact"/>
              <w:rPr>
                <w:rFonts w:ascii="宋体" w:hAnsi="宋体" w:eastAsia="宋体" w:cs="宋体"/>
                <w:szCs w:val="21"/>
              </w:rPr>
            </w:pPr>
            <w:r>
              <w:rPr>
                <w:rFonts w:hint="eastAsia" w:ascii="宋体" w:hAnsi="宋体" w:cs="宋体"/>
                <w:szCs w:val="21"/>
              </w:rPr>
              <w:t>（3）</w:t>
            </w:r>
            <w:r>
              <w:rPr>
                <w:rFonts w:hint="eastAsia" w:ascii="宋体" w:hAnsi="宋体" w:eastAsia="宋体" w:cs="宋体"/>
                <w:szCs w:val="21"/>
              </w:rPr>
              <w:t>个人定位</w:t>
            </w:r>
          </w:p>
          <w:p w14:paraId="35E592E6">
            <w:pPr>
              <w:numPr>
                <w:ilvl w:val="0"/>
                <w:numId w:val="5"/>
              </w:numPr>
              <w:spacing w:line="400" w:lineRule="exact"/>
              <w:rPr>
                <w:rFonts w:ascii="宋体" w:hAnsi="宋体" w:eastAsia="宋体" w:cs="宋体"/>
                <w:szCs w:val="21"/>
              </w:rPr>
            </w:pPr>
            <w:r>
              <w:rPr>
                <w:rFonts w:hint="eastAsia" w:ascii="宋体" w:hAnsi="宋体" w:eastAsia="宋体" w:cs="宋体"/>
                <w:szCs w:val="21"/>
              </w:rPr>
              <w:t>通过线下大型画板展示学生的毕业去向选择。学生结合自己的个人意愿，进行自主选择和粘贴。通过本活动了解本校在校生的发展规划和职业价值观侧重方向。活动形式：线上+线下。</w:t>
            </w:r>
          </w:p>
          <w:p w14:paraId="31DDFC84">
            <w:pPr>
              <w:numPr>
                <w:ilvl w:val="0"/>
                <w:numId w:val="5"/>
              </w:numPr>
              <w:spacing w:line="400" w:lineRule="exact"/>
              <w:rPr>
                <w:rFonts w:ascii="宋体" w:hAnsi="宋体" w:eastAsia="宋体" w:cs="宋体"/>
                <w:szCs w:val="21"/>
              </w:rPr>
            </w:pPr>
            <w:r>
              <w:rPr>
                <w:rFonts w:hint="eastAsia" w:ascii="宋体" w:hAnsi="宋体" w:eastAsia="宋体" w:cs="宋体"/>
                <w:szCs w:val="21"/>
              </w:rPr>
              <w:t>通过线下团队游戏活动，让学生明白“合作才是成功的基石”。学生可以进行多人的自由协商组队，共同完成活动任务，帮助学生明确合作的意识，和团队协作的重要性。活动形式：线下。</w:t>
            </w:r>
          </w:p>
          <w:p w14:paraId="07058220">
            <w:pPr>
              <w:numPr>
                <w:ilvl w:val="0"/>
                <w:numId w:val="5"/>
              </w:numPr>
              <w:spacing w:line="400" w:lineRule="exact"/>
              <w:rPr>
                <w:rFonts w:ascii="宋体" w:hAnsi="宋体" w:eastAsia="宋体" w:cs="宋体"/>
                <w:szCs w:val="21"/>
              </w:rPr>
            </w:pPr>
            <w:r>
              <w:rPr>
                <w:rFonts w:hint="eastAsia" w:ascii="宋体" w:hAnsi="宋体" w:eastAsia="宋体" w:cs="宋体"/>
                <w:szCs w:val="21"/>
              </w:rPr>
              <w:t>在团队游戏后进行贝尔宾角色测试，学生在完成测试后会获得一个评测结果，根据评测的结果积分最高的前三项，回填至线上。线下为学生发放贴纸，学生可以进行背景板的粘贴。帮助学生了解自己在团队中的职业定位，并了解各个定位角色的特征、优点、弱点、作用。活动形式：线上+线下。</w:t>
            </w:r>
          </w:p>
          <w:p w14:paraId="3FAA68AD">
            <w:pPr>
              <w:numPr>
                <w:ilvl w:val="0"/>
                <w:numId w:val="5"/>
              </w:numPr>
              <w:spacing w:line="400" w:lineRule="exact"/>
              <w:rPr>
                <w:rFonts w:ascii="宋体" w:hAnsi="宋体" w:eastAsia="宋体" w:cs="宋体"/>
                <w:szCs w:val="21"/>
              </w:rPr>
            </w:pPr>
            <w:r>
              <w:rPr>
                <w:rFonts w:hint="eastAsia" w:ascii="宋体" w:hAnsi="宋体" w:eastAsia="宋体" w:cs="宋体"/>
                <w:szCs w:val="21"/>
              </w:rPr>
              <w:t>需提供舒伯的生涯发展理论体验游戏。系统会产生一个空白的大饼图涂色空间，学生根据自己了解自己的当前人生角色进行一个一个色板填涂，并想象十年后的角色变化，绘制一个新的色板。通过对两个饼图的对比，学生能够直观地观察图例变化，引发学生对比思考人生发展目标。活动形式：线上。</w:t>
            </w:r>
          </w:p>
          <w:p w14:paraId="6B95778A">
            <w:pPr>
              <w:spacing w:line="400" w:lineRule="exact"/>
              <w:rPr>
                <w:rFonts w:ascii="宋体" w:hAnsi="宋体" w:eastAsia="宋体" w:cs="宋体"/>
                <w:szCs w:val="21"/>
              </w:rPr>
            </w:pPr>
            <w:r>
              <w:rPr>
                <w:rFonts w:hint="eastAsia" w:ascii="宋体" w:hAnsi="宋体" w:cs="宋体"/>
                <w:szCs w:val="21"/>
              </w:rPr>
              <w:t>（4）</w:t>
            </w:r>
            <w:r>
              <w:rPr>
                <w:rFonts w:hint="eastAsia" w:ascii="宋体" w:hAnsi="宋体" w:eastAsia="宋体" w:cs="宋体"/>
                <w:szCs w:val="21"/>
              </w:rPr>
              <w:t>行动计划</w:t>
            </w:r>
          </w:p>
          <w:p w14:paraId="6CC9D679">
            <w:pPr>
              <w:numPr>
                <w:ilvl w:val="0"/>
                <w:numId w:val="6"/>
              </w:numPr>
              <w:spacing w:line="400" w:lineRule="exact"/>
              <w:rPr>
                <w:rFonts w:ascii="宋体" w:hAnsi="宋体" w:eastAsia="宋体" w:cs="宋体"/>
                <w:szCs w:val="21"/>
              </w:rPr>
            </w:pPr>
            <w:r>
              <w:rPr>
                <w:rFonts w:hint="eastAsia" w:ascii="宋体" w:hAnsi="宋体" w:eastAsia="宋体" w:cs="宋体"/>
                <w:szCs w:val="21"/>
              </w:rPr>
              <w:t>通过思政教育和留省就业内容的</w:t>
            </w:r>
            <w:bookmarkStart w:id="0" w:name="_GoBack"/>
            <w:bookmarkEnd w:id="0"/>
            <w:r>
              <w:rPr>
                <w:rFonts w:hint="eastAsia" w:ascii="宋体" w:hAnsi="宋体" w:eastAsia="宋体" w:cs="宋体"/>
                <w:szCs w:val="21"/>
              </w:rPr>
              <w:t>宣传，推荐学生向在平凡岗位上，追求职业技能的完美和极致的不平凡的劳动者学习。督促学生奋发向上，确立目标，成为一个领域中不可或缺的人才。活动形式：线上。</w:t>
            </w:r>
          </w:p>
          <w:p w14:paraId="6258C295">
            <w:pPr>
              <w:numPr>
                <w:ilvl w:val="0"/>
                <w:numId w:val="6"/>
              </w:numPr>
              <w:spacing w:line="400" w:lineRule="exact"/>
              <w:rPr>
                <w:rFonts w:ascii="宋体" w:hAnsi="宋体" w:eastAsia="宋体" w:cs="宋体"/>
                <w:szCs w:val="21"/>
              </w:rPr>
            </w:pPr>
            <w:r>
              <w:rPr>
                <w:rFonts w:hint="eastAsia" w:ascii="宋体" w:hAnsi="宋体" w:eastAsia="宋体" w:cs="宋体"/>
                <w:szCs w:val="21"/>
              </w:rPr>
              <w:t>引导学生跨越选项看目标，学会以终为始的规划方法。在多个人生价值观选项中，学生可以勾选三项内容，现场对全校的价值观分布进行分析，并对气进行多标签的多类别的学生群体展示。活动形式：线上+线下。</w:t>
            </w:r>
          </w:p>
          <w:p w14:paraId="080B60CD">
            <w:pPr>
              <w:numPr>
                <w:ilvl w:val="0"/>
                <w:numId w:val="6"/>
              </w:numPr>
              <w:spacing w:line="400" w:lineRule="exact"/>
              <w:rPr>
                <w:rFonts w:ascii="宋体" w:hAnsi="宋体" w:eastAsia="宋体" w:cs="宋体"/>
                <w:szCs w:val="21"/>
              </w:rPr>
            </w:pPr>
            <w:r>
              <w:rPr>
                <w:rFonts w:hint="eastAsia" w:ascii="宋体" w:hAnsi="宋体" w:eastAsia="宋体" w:cs="宋体"/>
                <w:szCs w:val="21"/>
              </w:rPr>
              <w:t>通过活动帮助学生细化目标、整理规划并学会制定目标。活动形式：线上。</w:t>
            </w:r>
          </w:p>
          <w:p w14:paraId="42C907BB">
            <w:pPr>
              <w:numPr>
                <w:ilvl w:val="0"/>
                <w:numId w:val="6"/>
              </w:numPr>
              <w:spacing w:line="400" w:lineRule="exact"/>
              <w:rPr>
                <w:rFonts w:ascii="宋体" w:hAnsi="宋体" w:eastAsia="宋体" w:cs="宋体"/>
                <w:szCs w:val="21"/>
              </w:rPr>
            </w:pPr>
            <w:r>
              <w:rPr>
                <w:rFonts w:hint="eastAsia" w:ascii="宋体" w:hAnsi="宋体" w:eastAsia="宋体" w:cs="宋体"/>
                <w:szCs w:val="21"/>
              </w:rPr>
              <w:t>为加强高校生涯教育和就业指导，增强大学生生涯规划意识，指导其及早做好就业准备，促进高校毕业生高质量充分就业，本关将为大家介绍大学生职业生涯规划大赛的目标、注意事项以及相关优秀案例。活动形式：线上。</w:t>
            </w:r>
          </w:p>
          <w:p w14:paraId="24B69D8B">
            <w:pPr>
              <w:numPr>
                <w:ilvl w:val="0"/>
                <w:numId w:val="6"/>
              </w:numPr>
              <w:spacing w:line="400" w:lineRule="exact"/>
              <w:rPr>
                <w:rFonts w:ascii="宋体" w:hAnsi="宋体" w:eastAsia="宋体" w:cs="宋体"/>
                <w:szCs w:val="21"/>
              </w:rPr>
            </w:pPr>
            <w:r>
              <w:rPr>
                <w:rFonts w:hint="eastAsia" w:ascii="宋体" w:hAnsi="宋体" w:eastAsia="宋体" w:cs="宋体"/>
                <w:szCs w:val="21"/>
              </w:rPr>
              <w:t>学生深入了解低空经济在各个行业领域的应用，如无人机植保、低空交通执法、物品配送等，使他们认识到所学专业与新兴产业的紧密联系，拓宽专业视野，增强对专业知识学习的积极性和主动性。活动形式：线上+线下。</w:t>
            </w:r>
          </w:p>
          <w:p w14:paraId="791D6342">
            <w:pPr>
              <w:spacing w:line="400" w:lineRule="exact"/>
              <w:rPr>
                <w:rFonts w:ascii="宋体" w:hAnsi="宋体" w:eastAsia="宋体" w:cs="宋体"/>
                <w:szCs w:val="21"/>
              </w:rPr>
            </w:pPr>
            <w:r>
              <w:rPr>
                <w:rFonts w:hint="eastAsia" w:ascii="宋体" w:hAnsi="宋体" w:cs="宋体"/>
                <w:szCs w:val="21"/>
              </w:rPr>
              <w:t>3.4</w:t>
            </w:r>
            <w:r>
              <w:rPr>
                <w:rFonts w:hint="eastAsia" w:ascii="宋体" w:hAnsi="宋体" w:eastAsia="宋体" w:cs="宋体"/>
                <w:szCs w:val="21"/>
              </w:rPr>
              <w:t>线上平台功能要求</w:t>
            </w:r>
          </w:p>
          <w:p w14:paraId="7C7A2251">
            <w:pPr>
              <w:numPr>
                <w:ilvl w:val="0"/>
                <w:numId w:val="7"/>
              </w:numPr>
              <w:spacing w:line="400" w:lineRule="exact"/>
              <w:rPr>
                <w:rFonts w:ascii="宋体" w:hAnsi="宋体" w:eastAsia="宋体" w:cs="宋体"/>
                <w:szCs w:val="21"/>
              </w:rPr>
            </w:pPr>
            <w:r>
              <w:rPr>
                <w:rFonts w:hint="eastAsia" w:ascii="宋体" w:hAnsi="宋体" w:eastAsia="宋体" w:cs="宋体"/>
                <w:szCs w:val="21"/>
              </w:rPr>
              <w:t>响应人需将本次活动与信息化指导平台进行结合，将活动开展融入信息化平台中，为学生的就业知识提供扩展资源。将线上活动记录到信息化平台，以信息化平台为工具，为学生提供电子生涯档案数据，便于学生深入探索和自省，为就业制定行动计划。方便学生全面了解个人求职动机、岗位胜任力与求职表现力，实现职业沉浸式体验互动。帮助学生提前认知职场、感受职场，提高职业适应能力。</w:t>
            </w:r>
          </w:p>
          <w:p w14:paraId="7EF4E314">
            <w:pPr>
              <w:numPr>
                <w:ilvl w:val="0"/>
                <w:numId w:val="7"/>
              </w:numPr>
              <w:spacing w:line="400" w:lineRule="exact"/>
              <w:rPr>
                <w:rFonts w:ascii="宋体" w:hAnsi="宋体" w:eastAsia="宋体" w:cs="宋体"/>
                <w:szCs w:val="21"/>
              </w:rPr>
            </w:pPr>
            <w:r>
              <w:rPr>
                <w:rFonts w:hint="eastAsia" w:ascii="宋体" w:hAnsi="宋体" w:eastAsia="宋体" w:cs="宋体"/>
                <w:szCs w:val="21"/>
              </w:rPr>
              <w:t>★平台以移动端的方式为学生提供“生涯体验周”活动体验，需满足“线下+线上”模式开展活动。</w:t>
            </w:r>
            <w:r>
              <w:rPr>
                <w:rFonts w:hint="eastAsia" w:ascii="宋体" w:hAnsi="宋体" w:eastAsia="宋体" w:cs="宋体"/>
                <w:b/>
                <w:bCs/>
                <w:szCs w:val="21"/>
              </w:rPr>
              <w:t>响应人需提供功能截图。</w:t>
            </w:r>
          </w:p>
          <w:p w14:paraId="212A5525">
            <w:pPr>
              <w:numPr>
                <w:ilvl w:val="0"/>
                <w:numId w:val="7"/>
              </w:numPr>
              <w:spacing w:line="400" w:lineRule="exact"/>
              <w:rPr>
                <w:rFonts w:ascii="宋体" w:hAnsi="宋体" w:eastAsia="宋体" w:cs="宋体"/>
                <w:szCs w:val="21"/>
              </w:rPr>
            </w:pPr>
            <w:r>
              <w:rPr>
                <w:rFonts w:hint="eastAsia" w:ascii="宋体" w:hAnsi="宋体" w:eastAsia="宋体" w:cs="宋体"/>
                <w:szCs w:val="21"/>
              </w:rPr>
              <w:t>★平台需为学生提供至少</w:t>
            </w:r>
            <w:r>
              <w:rPr>
                <w:rFonts w:hint="eastAsia" w:ascii="宋体" w:hAnsi="宋体" w:cs="宋体"/>
                <w:szCs w:val="21"/>
              </w:rPr>
              <w:t>8</w:t>
            </w:r>
            <w:r>
              <w:rPr>
                <w:rFonts w:hint="eastAsia" w:ascii="宋体" w:hAnsi="宋体" w:eastAsia="宋体" w:cs="宋体"/>
                <w:szCs w:val="21"/>
              </w:rPr>
              <w:t>个游戏闯关活动。</w:t>
            </w:r>
            <w:r>
              <w:rPr>
                <w:rFonts w:hint="eastAsia" w:ascii="宋体" w:hAnsi="宋体" w:eastAsia="宋体" w:cs="宋体"/>
                <w:b/>
                <w:bCs/>
                <w:szCs w:val="21"/>
              </w:rPr>
              <w:t>响应人需提供功能截图。</w:t>
            </w:r>
          </w:p>
          <w:p w14:paraId="3CF5CFDD">
            <w:pPr>
              <w:numPr>
                <w:ilvl w:val="0"/>
                <w:numId w:val="7"/>
              </w:numPr>
              <w:spacing w:line="400" w:lineRule="exact"/>
              <w:rPr>
                <w:rFonts w:ascii="宋体" w:hAnsi="宋体" w:eastAsia="宋体" w:cs="宋体"/>
                <w:szCs w:val="21"/>
              </w:rPr>
            </w:pPr>
            <w:r>
              <w:rPr>
                <w:rFonts w:hint="eastAsia" w:ascii="宋体" w:hAnsi="宋体" w:eastAsia="宋体" w:cs="宋体"/>
                <w:szCs w:val="21"/>
              </w:rPr>
              <w:t>学生线下参加完单个游戏关卡后，在平台线上打卡记录，自动生成关卡盘点，进一步帮助学生了解活动实践内容。</w:t>
            </w:r>
          </w:p>
          <w:p w14:paraId="112C4B85">
            <w:pPr>
              <w:numPr>
                <w:ilvl w:val="0"/>
                <w:numId w:val="7"/>
              </w:numPr>
              <w:spacing w:line="400" w:lineRule="exact"/>
              <w:rPr>
                <w:rFonts w:ascii="宋体" w:hAnsi="宋体" w:eastAsia="宋体" w:cs="宋体"/>
                <w:szCs w:val="21"/>
              </w:rPr>
            </w:pPr>
            <w:r>
              <w:rPr>
                <w:rFonts w:hint="eastAsia" w:ascii="宋体" w:hAnsi="宋体" w:eastAsia="宋体" w:cs="宋体"/>
                <w:szCs w:val="21"/>
              </w:rPr>
              <w:t>学生参加活动期间，平台需提供线上调查问卷功能，问卷内容可由管理员进行动态填写配置。</w:t>
            </w:r>
          </w:p>
          <w:p w14:paraId="6075BE35">
            <w:pPr>
              <w:numPr>
                <w:ilvl w:val="0"/>
                <w:numId w:val="7"/>
              </w:numPr>
              <w:spacing w:line="400" w:lineRule="exact"/>
              <w:rPr>
                <w:rFonts w:ascii="宋体" w:hAnsi="宋体" w:eastAsia="宋体" w:cs="宋体"/>
                <w:szCs w:val="21"/>
              </w:rPr>
            </w:pPr>
            <w:r>
              <w:rPr>
                <w:rFonts w:hint="eastAsia" w:ascii="宋体" w:hAnsi="宋体" w:eastAsia="宋体" w:cs="宋体"/>
                <w:szCs w:val="21"/>
              </w:rPr>
              <w:t>平台满足生涯体验周活动的“线上体验”、“线上+线下体验”模式，需为参加活动的学生提供线上打卡功能，平台完成学生参与游戏的线上进度统计与数据分析。</w:t>
            </w:r>
          </w:p>
          <w:p w14:paraId="09959E8D">
            <w:pPr>
              <w:numPr>
                <w:ilvl w:val="0"/>
                <w:numId w:val="7"/>
              </w:numPr>
              <w:spacing w:line="400" w:lineRule="exact"/>
              <w:rPr>
                <w:rFonts w:ascii="宋体" w:hAnsi="宋体" w:eastAsia="宋体" w:cs="宋体"/>
                <w:szCs w:val="21"/>
              </w:rPr>
            </w:pPr>
            <w:r>
              <w:rPr>
                <w:rFonts w:hint="eastAsia" w:ascii="宋体" w:hAnsi="宋体" w:eastAsia="宋体" w:cs="宋体"/>
                <w:szCs w:val="21"/>
              </w:rPr>
              <w:t>★针对学生参与的活动情况，平台需提供多维度的查询统计功能，内容包括按院系统计、按专业统计、按班级统计，并提供导出Excel报表。</w:t>
            </w:r>
            <w:r>
              <w:rPr>
                <w:rFonts w:hint="eastAsia" w:ascii="宋体" w:hAnsi="宋体" w:eastAsia="宋体" w:cs="宋体"/>
                <w:b/>
                <w:bCs/>
                <w:szCs w:val="21"/>
              </w:rPr>
              <w:t>响应人需提供功能截图。</w:t>
            </w:r>
          </w:p>
          <w:p w14:paraId="55F55B91">
            <w:pPr>
              <w:numPr>
                <w:ilvl w:val="0"/>
                <w:numId w:val="7"/>
              </w:numPr>
              <w:spacing w:line="400" w:lineRule="exact"/>
              <w:rPr>
                <w:rFonts w:ascii="宋体" w:hAnsi="宋体" w:eastAsia="宋体" w:cs="宋体"/>
                <w:szCs w:val="21"/>
              </w:rPr>
            </w:pPr>
            <w:r>
              <w:rPr>
                <w:rFonts w:hint="eastAsia" w:ascii="宋体" w:hAnsi="宋体" w:eastAsia="宋体" w:cs="宋体"/>
                <w:szCs w:val="21"/>
              </w:rPr>
              <w:t>★针对学生参与的活动情况，平台需提供多维度数据可视化展示功能，内容包括各关参与人数，参与学生学院分布，参与学生年级分布，参与学生性别占比，毕业去向排行，团队角色排行，热门行业等。</w:t>
            </w:r>
            <w:r>
              <w:rPr>
                <w:rFonts w:hint="eastAsia" w:ascii="宋体" w:hAnsi="宋体" w:eastAsia="宋体" w:cs="宋体"/>
                <w:b/>
                <w:bCs/>
                <w:szCs w:val="21"/>
              </w:rPr>
              <w:t>响应人需提供功能截图。</w:t>
            </w:r>
          </w:p>
          <w:p w14:paraId="0DEAF0A4">
            <w:pPr>
              <w:numPr>
                <w:ilvl w:val="0"/>
                <w:numId w:val="7"/>
              </w:numPr>
              <w:spacing w:line="400" w:lineRule="exact"/>
              <w:rPr>
                <w:rFonts w:ascii="宋体" w:hAnsi="宋体" w:eastAsia="宋体" w:cs="宋体"/>
                <w:szCs w:val="21"/>
              </w:rPr>
            </w:pPr>
            <w:r>
              <w:rPr>
                <w:rFonts w:hint="eastAsia" w:ascii="宋体" w:hAnsi="宋体" w:eastAsia="宋体" w:cs="宋体"/>
                <w:szCs w:val="21"/>
              </w:rPr>
              <w:t>★平台支持在学生完成生涯体验活动后，开展生涯发展规划大赛评比，支持自定义比赛报名信息。针对设置的比赛各组别，平台需支持自定义报名表单，支持自定义（类型、数量、文件大小形式）上传文件内容，文件内容类型包括：docx、xls、xlsx等常见格式。</w:t>
            </w:r>
            <w:r>
              <w:rPr>
                <w:rFonts w:hint="eastAsia" w:ascii="宋体" w:hAnsi="宋体" w:eastAsia="宋体" w:cs="宋体"/>
                <w:b/>
                <w:bCs/>
                <w:szCs w:val="21"/>
              </w:rPr>
              <w:t>响应人需提供功能截图。</w:t>
            </w:r>
          </w:p>
          <w:p w14:paraId="78F43285">
            <w:pPr>
              <w:numPr>
                <w:ilvl w:val="0"/>
                <w:numId w:val="7"/>
              </w:numPr>
              <w:spacing w:line="400" w:lineRule="exact"/>
              <w:rPr>
                <w:rFonts w:ascii="宋体" w:hAnsi="宋体" w:eastAsia="宋体" w:cs="宋体"/>
                <w:szCs w:val="21"/>
              </w:rPr>
            </w:pPr>
            <w:r>
              <w:rPr>
                <w:rFonts w:hint="eastAsia" w:ascii="宋体" w:hAnsi="宋体" w:eastAsia="宋体" w:cs="宋体"/>
                <w:szCs w:val="21"/>
              </w:rPr>
              <w:t>★大赛评比需支持学生通过小程序进入比赛报名页面，支持填写赛道、填写组别、填写参赛作品名称、填写参赛作品概述、填写指导教师姓名等信息；其中赛道、组别为下拉菜单，选手可直接进行选择。</w:t>
            </w:r>
            <w:r>
              <w:rPr>
                <w:rFonts w:hint="eastAsia" w:ascii="宋体" w:hAnsi="宋体" w:eastAsia="宋体" w:cs="宋体"/>
                <w:b/>
                <w:bCs/>
                <w:szCs w:val="21"/>
              </w:rPr>
              <w:t>响应人需提供功能截图。</w:t>
            </w:r>
          </w:p>
          <w:p w14:paraId="56DAA9C6">
            <w:pPr>
              <w:spacing w:line="400" w:lineRule="exact"/>
              <w:rPr>
                <w:rFonts w:ascii="宋体" w:hAnsi="宋体" w:eastAsia="宋体" w:cs="宋体"/>
                <w:szCs w:val="21"/>
              </w:rPr>
            </w:pPr>
            <w:r>
              <w:rPr>
                <w:rFonts w:hint="eastAsia" w:ascii="宋体" w:hAnsi="宋体" w:cs="宋体"/>
                <w:szCs w:val="21"/>
              </w:rPr>
              <w:t>3.5</w:t>
            </w:r>
            <w:r>
              <w:rPr>
                <w:rFonts w:hint="eastAsia" w:ascii="宋体" w:hAnsi="宋体" w:eastAsia="宋体" w:cs="宋体"/>
                <w:szCs w:val="21"/>
              </w:rPr>
              <w:t>活动实施参数</w:t>
            </w:r>
          </w:p>
          <w:p w14:paraId="118C8A9B">
            <w:pPr>
              <w:numPr>
                <w:ilvl w:val="0"/>
                <w:numId w:val="8"/>
              </w:numPr>
              <w:spacing w:line="400" w:lineRule="exact"/>
              <w:rPr>
                <w:rFonts w:ascii="宋体" w:hAnsi="宋体" w:eastAsia="宋体" w:cs="宋体"/>
                <w:szCs w:val="21"/>
              </w:rPr>
            </w:pPr>
            <w:r>
              <w:rPr>
                <w:rFonts w:hint="eastAsia" w:ascii="宋体" w:hAnsi="宋体" w:eastAsia="宋体" w:cs="宋体"/>
                <w:szCs w:val="21"/>
              </w:rPr>
              <w:t>线下活动举办期限5天，每人活动体验时长需≥30分钟。</w:t>
            </w:r>
          </w:p>
          <w:p w14:paraId="40FBCA84">
            <w:pPr>
              <w:numPr>
                <w:ilvl w:val="0"/>
                <w:numId w:val="8"/>
              </w:numPr>
              <w:spacing w:line="400" w:lineRule="exact"/>
              <w:rPr>
                <w:rFonts w:ascii="宋体" w:hAnsi="宋体" w:eastAsia="宋体" w:cs="宋体"/>
                <w:szCs w:val="21"/>
              </w:rPr>
            </w:pPr>
            <w:r>
              <w:rPr>
                <w:rFonts w:hint="eastAsia" w:ascii="宋体" w:hAnsi="宋体" w:eastAsia="宋体" w:cs="宋体"/>
                <w:szCs w:val="21"/>
              </w:rPr>
              <w:t>物料准备：成交响应人需准备活动所需桁架、喷绘，数量≥1个（内容需由采购方审核，并在指定区域摆放使用，单个或者组合大小不少于36平米）。</w:t>
            </w:r>
          </w:p>
          <w:p w14:paraId="63862C53">
            <w:pPr>
              <w:numPr>
                <w:ilvl w:val="0"/>
                <w:numId w:val="8"/>
              </w:numPr>
              <w:spacing w:line="400" w:lineRule="exact"/>
              <w:rPr>
                <w:rFonts w:ascii="宋体" w:hAnsi="宋体" w:eastAsia="宋体" w:cs="宋体"/>
                <w:szCs w:val="21"/>
              </w:rPr>
            </w:pPr>
            <w:r>
              <w:rPr>
                <w:rFonts w:hint="eastAsia" w:ascii="宋体" w:hAnsi="宋体" w:eastAsia="宋体" w:cs="宋体"/>
                <w:szCs w:val="21"/>
              </w:rPr>
              <w:t>成交响应人需提供活动学生通关手卡，数量≥5000个（按照活动参与人数确保人手一张）。</w:t>
            </w:r>
          </w:p>
          <w:p w14:paraId="2187E542">
            <w:pPr>
              <w:numPr>
                <w:ilvl w:val="0"/>
                <w:numId w:val="8"/>
              </w:numPr>
              <w:spacing w:line="400" w:lineRule="exact"/>
              <w:rPr>
                <w:rFonts w:ascii="宋体" w:hAnsi="宋体" w:eastAsia="宋体" w:cs="宋体"/>
                <w:szCs w:val="21"/>
              </w:rPr>
            </w:pPr>
            <w:r>
              <w:rPr>
                <w:rFonts w:hint="eastAsia" w:ascii="宋体" w:hAnsi="宋体" w:eastAsia="宋体" w:cs="宋体"/>
                <w:szCs w:val="21"/>
              </w:rPr>
              <w:t>成交响应人需提供活动通关奖品，需设置一、二、三等奖和参与奖。</w:t>
            </w:r>
          </w:p>
          <w:p w14:paraId="7D18BBF7">
            <w:pPr>
              <w:pStyle w:val="6"/>
              <w:ind w:firstLine="0" w:firstLineChars="0"/>
              <w:jc w:val="both"/>
            </w:pPr>
            <w:r>
              <w:rPr>
                <w:rFonts w:hint="eastAsia" w:ascii="宋体" w:hAnsi="宋体" w:eastAsia="宋体"/>
                <w:kern w:val="2"/>
                <w:sz w:val="21"/>
                <w:szCs w:val="21"/>
                <w:lang w:bidi="ar-SA"/>
              </w:rPr>
              <w:t>响应人需服务培训学校安排的活动志愿者，志愿者数量≥20人。负责协调志愿者志愿时长。负责提供志愿者活动标识穿戴。</w:t>
            </w:r>
          </w:p>
          <w:p w14:paraId="62D45A15">
            <w:r>
              <w:rPr>
                <w:rFonts w:hint="eastAsia"/>
              </w:rPr>
              <w:t>（5）无人机航拍、摄像、拍照，制作精美宣传视频（1分钟）</w:t>
            </w:r>
          </w:p>
        </w:tc>
      </w:tr>
      <w:tr w14:paraId="5905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006BA13B">
            <w:pPr>
              <w:pStyle w:val="6"/>
            </w:pPr>
            <w:r>
              <w:rPr>
                <w:rFonts w:hint="eastAsia"/>
              </w:rPr>
              <w:t>5</w:t>
            </w:r>
          </w:p>
        </w:tc>
        <w:tc>
          <w:tcPr>
            <w:tcW w:w="1217" w:type="dxa"/>
            <w:vAlign w:val="center"/>
          </w:tcPr>
          <w:p w14:paraId="30584EEA">
            <w:pPr>
              <w:pStyle w:val="6"/>
            </w:pPr>
            <w:r>
              <w:t>▲</w:t>
            </w:r>
          </w:p>
        </w:tc>
        <w:tc>
          <w:tcPr>
            <w:tcW w:w="2039" w:type="dxa"/>
            <w:vAlign w:val="center"/>
          </w:tcPr>
          <w:p w14:paraId="6A36AF3A">
            <w:pPr>
              <w:pStyle w:val="6"/>
              <w:ind w:firstLine="0" w:firstLineChars="0"/>
            </w:pPr>
            <w:r>
              <w:rPr>
                <w:rFonts w:hint="eastAsia"/>
              </w:rPr>
              <w:t>学生赛道比赛物料</w:t>
            </w:r>
          </w:p>
        </w:tc>
        <w:tc>
          <w:tcPr>
            <w:tcW w:w="4111" w:type="dxa"/>
          </w:tcPr>
          <w:p w14:paraId="1B0D0367">
            <w:r>
              <w:rPr>
                <w:rFonts w:hint="eastAsia"/>
              </w:rPr>
              <w:t>拱门</w:t>
            </w:r>
            <w:r>
              <w:rPr>
                <w:rFonts w:hint="eastAsia"/>
              </w:rPr>
              <w:tab/>
            </w:r>
            <w:r>
              <w:rPr>
                <w:rFonts w:hint="eastAsia"/>
              </w:rPr>
              <w:t>2</w:t>
            </w:r>
          </w:p>
          <w:p w14:paraId="766CABCC">
            <w:r>
              <w:rPr>
                <w:rFonts w:hint="eastAsia"/>
              </w:rPr>
              <w:t>宣传桁架制作安装</w:t>
            </w:r>
            <w:r>
              <w:rPr>
                <w:rFonts w:hint="eastAsia"/>
              </w:rPr>
              <w:tab/>
            </w:r>
            <w:r>
              <w:rPr>
                <w:rFonts w:hint="eastAsia"/>
              </w:rPr>
              <w:t>500平米</w:t>
            </w:r>
          </w:p>
          <w:p w14:paraId="610AB8C2">
            <w:r>
              <w:rPr>
                <w:rFonts w:hint="eastAsia"/>
              </w:rPr>
              <w:t>宣传牌</w:t>
            </w:r>
            <w:r>
              <w:rPr>
                <w:rFonts w:hint="eastAsia"/>
              </w:rPr>
              <w:tab/>
            </w:r>
            <w:r>
              <w:rPr>
                <w:rFonts w:hint="eastAsia"/>
              </w:rPr>
              <w:t>3个</w:t>
            </w:r>
          </w:p>
          <w:p w14:paraId="5DB390AD">
            <w:r>
              <w:rPr>
                <w:rFonts w:hint="eastAsia"/>
              </w:rPr>
              <w:t>道旗</w:t>
            </w:r>
            <w:r>
              <w:rPr>
                <w:rFonts w:hint="eastAsia"/>
              </w:rPr>
              <w:tab/>
            </w:r>
            <w:r>
              <w:rPr>
                <w:rFonts w:hint="eastAsia"/>
              </w:rPr>
              <w:t>40个</w:t>
            </w:r>
          </w:p>
          <w:p w14:paraId="36C6CF7F">
            <w:r>
              <w:rPr>
                <w:rFonts w:hint="eastAsia"/>
              </w:rPr>
              <w:t>易拉宝</w:t>
            </w:r>
            <w:r>
              <w:rPr>
                <w:rFonts w:hint="eastAsia"/>
              </w:rPr>
              <w:tab/>
            </w:r>
            <w:r>
              <w:rPr>
                <w:rFonts w:hint="eastAsia"/>
              </w:rPr>
              <w:t>20个</w:t>
            </w:r>
          </w:p>
          <w:p w14:paraId="54CDBBF6">
            <w:r>
              <w:rPr>
                <w:rFonts w:hint="eastAsia"/>
              </w:rPr>
              <w:t>指引牌</w:t>
            </w:r>
            <w:r>
              <w:rPr>
                <w:rFonts w:hint="eastAsia"/>
              </w:rPr>
              <w:tab/>
            </w:r>
            <w:r>
              <w:rPr>
                <w:rFonts w:hint="eastAsia"/>
              </w:rPr>
              <w:t>6</w:t>
            </w:r>
          </w:p>
          <w:p w14:paraId="00CCD42C">
            <w:r>
              <w:rPr>
                <w:rFonts w:hint="eastAsia"/>
              </w:rPr>
              <w:t>1个箭头的地贴（大赛主题）</w:t>
            </w:r>
            <w:r>
              <w:rPr>
                <w:rFonts w:hint="eastAsia"/>
              </w:rPr>
              <w:tab/>
            </w:r>
            <w:r>
              <w:rPr>
                <w:rFonts w:hint="eastAsia"/>
              </w:rPr>
              <w:t>20</w:t>
            </w:r>
          </w:p>
          <w:p w14:paraId="629AA85E">
            <w:r>
              <w:rPr>
                <w:rFonts w:hint="eastAsia"/>
              </w:rPr>
              <w:t>南昌大学LOGO的笔、A4纸等</w:t>
            </w:r>
            <w:r>
              <w:rPr>
                <w:rFonts w:hint="eastAsia"/>
              </w:rPr>
              <w:tab/>
            </w:r>
            <w:r>
              <w:rPr>
                <w:rFonts w:hint="eastAsia"/>
              </w:rPr>
              <w:t>200</w:t>
            </w:r>
          </w:p>
          <w:p w14:paraId="693C052B">
            <w:r>
              <w:rPr>
                <w:rFonts w:hint="eastAsia"/>
              </w:rPr>
              <w:t>1米线若干（隔离）</w:t>
            </w:r>
            <w:r>
              <w:rPr>
                <w:rFonts w:hint="eastAsia"/>
              </w:rPr>
              <w:tab/>
            </w:r>
            <w:r>
              <w:rPr>
                <w:rFonts w:hint="eastAsia"/>
              </w:rPr>
              <w:t>20</w:t>
            </w:r>
          </w:p>
          <w:p w14:paraId="43536FC5">
            <w:r>
              <w:rPr>
                <w:rFonts w:hint="eastAsia"/>
              </w:rPr>
              <w:t>选手序号贴</w:t>
            </w:r>
            <w:r>
              <w:rPr>
                <w:rFonts w:hint="eastAsia"/>
              </w:rPr>
              <w:tab/>
            </w:r>
            <w:r>
              <w:rPr>
                <w:rFonts w:hint="eastAsia"/>
              </w:rPr>
              <w:t>300</w:t>
            </w:r>
          </w:p>
          <w:p w14:paraId="5DF4AD5D">
            <w:r>
              <w:rPr>
                <w:rFonts w:hint="eastAsia"/>
              </w:rPr>
              <w:t>赛场氛围布置</w:t>
            </w:r>
            <w:r>
              <w:rPr>
                <w:rFonts w:hint="eastAsia"/>
              </w:rPr>
              <w:tab/>
            </w:r>
            <w:r>
              <w:rPr>
                <w:rFonts w:hint="eastAsia"/>
              </w:rPr>
              <w:t>6个</w:t>
            </w:r>
          </w:p>
          <w:p w14:paraId="7BA88E0E">
            <w:r>
              <w:rPr>
                <w:rFonts w:hint="eastAsia"/>
              </w:rPr>
              <w:t>赛事手册</w:t>
            </w:r>
            <w:r>
              <w:rPr>
                <w:rFonts w:hint="eastAsia"/>
              </w:rPr>
              <w:tab/>
            </w:r>
            <w:r>
              <w:rPr>
                <w:rFonts w:hint="eastAsia"/>
              </w:rPr>
              <w:t>700个</w:t>
            </w:r>
          </w:p>
          <w:p w14:paraId="3710A7FB">
            <w:r>
              <w:rPr>
                <w:rFonts w:hint="eastAsia"/>
              </w:rPr>
              <w:t>工作证</w:t>
            </w:r>
            <w:r>
              <w:rPr>
                <w:rFonts w:hint="eastAsia"/>
              </w:rPr>
              <w:tab/>
            </w:r>
            <w:r>
              <w:rPr>
                <w:rFonts w:hint="eastAsia"/>
              </w:rPr>
              <w:t>500个</w:t>
            </w:r>
          </w:p>
          <w:p w14:paraId="5EC12D63">
            <w:r>
              <w:rPr>
                <w:rFonts w:hint="eastAsia"/>
              </w:rPr>
              <w:t>手提袋</w:t>
            </w:r>
            <w:r>
              <w:rPr>
                <w:rFonts w:hint="eastAsia"/>
              </w:rPr>
              <w:tab/>
            </w:r>
            <w:r>
              <w:rPr>
                <w:rFonts w:hint="eastAsia"/>
              </w:rPr>
              <w:t>700个</w:t>
            </w:r>
          </w:p>
          <w:p w14:paraId="3EFA3024">
            <w:r>
              <w:rPr>
                <w:rFonts w:hint="eastAsia"/>
              </w:rPr>
              <w:t>音箱设备租赁</w:t>
            </w:r>
            <w:r>
              <w:rPr>
                <w:rFonts w:hint="eastAsia"/>
              </w:rPr>
              <w:tab/>
            </w:r>
            <w:r>
              <w:rPr>
                <w:rFonts w:hint="eastAsia"/>
              </w:rPr>
              <w:t>1套</w:t>
            </w:r>
          </w:p>
          <w:p w14:paraId="3BEB4D9B">
            <w:r>
              <w:rPr>
                <w:rFonts w:hint="eastAsia"/>
              </w:rPr>
              <w:t>大屏及灯光系统租赁</w:t>
            </w:r>
            <w:r>
              <w:rPr>
                <w:rFonts w:hint="eastAsia"/>
              </w:rPr>
              <w:tab/>
            </w:r>
            <w:r>
              <w:rPr>
                <w:rFonts w:hint="eastAsia"/>
              </w:rPr>
              <w:t>1套</w:t>
            </w:r>
          </w:p>
          <w:p w14:paraId="721F5049">
            <w:r>
              <w:rPr>
                <w:rFonts w:hint="eastAsia"/>
              </w:rPr>
              <w:t>评委茶歇</w:t>
            </w:r>
            <w:r>
              <w:rPr>
                <w:rFonts w:hint="eastAsia"/>
              </w:rPr>
              <w:tab/>
            </w:r>
            <w:r>
              <w:rPr>
                <w:rFonts w:hint="eastAsia"/>
              </w:rPr>
              <w:t>10间</w:t>
            </w:r>
          </w:p>
          <w:p w14:paraId="1374D084">
            <w:r>
              <w:rPr>
                <w:rFonts w:hint="eastAsia"/>
              </w:rPr>
              <w:t>评委冲锋衣</w:t>
            </w:r>
            <w:r>
              <w:rPr>
                <w:rFonts w:hint="eastAsia"/>
              </w:rPr>
              <w:tab/>
            </w:r>
            <w:r>
              <w:rPr>
                <w:rFonts w:hint="eastAsia"/>
              </w:rPr>
              <w:t>70人</w:t>
            </w:r>
          </w:p>
          <w:p w14:paraId="1E2C786E">
            <w:r>
              <w:rPr>
                <w:rFonts w:hint="eastAsia"/>
              </w:rPr>
              <w:t>荣誉证书</w:t>
            </w:r>
            <w:r>
              <w:rPr>
                <w:rFonts w:hint="eastAsia"/>
              </w:rPr>
              <w:tab/>
            </w:r>
            <w:r>
              <w:rPr>
                <w:rFonts w:hint="eastAsia"/>
              </w:rPr>
              <w:t>300</w:t>
            </w:r>
          </w:p>
          <w:p w14:paraId="2E22E186">
            <w:r>
              <w:rPr>
                <w:rFonts w:hint="eastAsia"/>
              </w:rPr>
              <w:t>舞台包装</w:t>
            </w:r>
            <w:r>
              <w:rPr>
                <w:rFonts w:hint="eastAsia"/>
              </w:rPr>
              <w:tab/>
            </w:r>
            <w:r>
              <w:rPr>
                <w:rFonts w:hint="eastAsia"/>
              </w:rPr>
              <w:t>800</w:t>
            </w:r>
          </w:p>
          <w:p w14:paraId="56463B62">
            <w:r>
              <w:rPr>
                <w:rFonts w:hint="eastAsia"/>
              </w:rPr>
              <w:t>条幅</w:t>
            </w:r>
            <w:r>
              <w:rPr>
                <w:rFonts w:hint="eastAsia"/>
              </w:rPr>
              <w:tab/>
            </w:r>
            <w:r>
              <w:rPr>
                <w:rFonts w:hint="eastAsia"/>
              </w:rPr>
              <w:t>3</w:t>
            </w:r>
          </w:p>
          <w:p w14:paraId="3FB54292">
            <w:r>
              <w:rPr>
                <w:rFonts w:hint="eastAsia"/>
              </w:rPr>
              <w:t>礼炮</w:t>
            </w:r>
            <w:r>
              <w:rPr>
                <w:rFonts w:hint="eastAsia"/>
              </w:rPr>
              <w:tab/>
            </w:r>
            <w:r>
              <w:rPr>
                <w:rFonts w:hint="eastAsia"/>
              </w:rPr>
              <w:t>4</w:t>
            </w:r>
          </w:p>
          <w:p w14:paraId="48900D00">
            <w:r>
              <w:rPr>
                <w:rFonts w:hint="eastAsia"/>
              </w:rPr>
              <w:t>领导桌签</w:t>
            </w:r>
            <w:r>
              <w:rPr>
                <w:rFonts w:hint="eastAsia"/>
              </w:rPr>
              <w:tab/>
            </w:r>
            <w:r>
              <w:rPr>
                <w:rFonts w:hint="eastAsia"/>
              </w:rPr>
              <w:t>50</w:t>
            </w:r>
          </w:p>
          <w:p w14:paraId="35B57806">
            <w:pPr>
              <w:pStyle w:val="6"/>
              <w:ind w:firstLine="0" w:firstLineChars="0"/>
              <w:jc w:val="both"/>
            </w:pPr>
          </w:p>
        </w:tc>
      </w:tr>
      <w:tr w14:paraId="3D8C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1" w:type="dxa"/>
            <w:vAlign w:val="center"/>
          </w:tcPr>
          <w:p w14:paraId="6CC703FE">
            <w:pPr>
              <w:pStyle w:val="6"/>
            </w:pPr>
            <w:r>
              <w:rPr>
                <w:rFonts w:hint="eastAsia"/>
              </w:rPr>
              <w:t>6</w:t>
            </w:r>
          </w:p>
        </w:tc>
        <w:tc>
          <w:tcPr>
            <w:tcW w:w="1217" w:type="dxa"/>
            <w:vAlign w:val="center"/>
          </w:tcPr>
          <w:p w14:paraId="191CDED7">
            <w:pPr>
              <w:pStyle w:val="6"/>
            </w:pPr>
            <w:r>
              <w:t>▲</w:t>
            </w:r>
          </w:p>
        </w:tc>
        <w:tc>
          <w:tcPr>
            <w:tcW w:w="2039" w:type="dxa"/>
            <w:vAlign w:val="center"/>
          </w:tcPr>
          <w:p w14:paraId="2D570C16">
            <w:pPr>
              <w:pStyle w:val="6"/>
              <w:ind w:firstLine="0" w:firstLineChars="0"/>
            </w:pPr>
            <w:r>
              <w:rPr>
                <w:rFonts w:hint="eastAsia"/>
              </w:rPr>
              <w:t>教师赛道比赛物料</w:t>
            </w:r>
          </w:p>
        </w:tc>
        <w:tc>
          <w:tcPr>
            <w:tcW w:w="4111" w:type="dxa"/>
          </w:tcPr>
          <w:p w14:paraId="1FB5D7DD">
            <w:r>
              <w:rPr>
                <w:rFonts w:hint="eastAsia"/>
              </w:rPr>
              <w:t>拱门横跨12米</w:t>
            </w:r>
            <w:r>
              <w:rPr>
                <w:rFonts w:hint="eastAsia"/>
              </w:rPr>
              <w:tab/>
            </w:r>
            <w:r>
              <w:rPr>
                <w:rFonts w:hint="eastAsia"/>
              </w:rPr>
              <w:t>2</w:t>
            </w:r>
          </w:p>
          <w:p w14:paraId="54DCF853">
            <w:r>
              <w:rPr>
                <w:rFonts w:hint="eastAsia"/>
              </w:rPr>
              <w:t>大赛背景桁架+画面10*4m</w:t>
            </w:r>
            <w:r>
              <w:rPr>
                <w:rFonts w:hint="eastAsia"/>
              </w:rPr>
              <w:tab/>
            </w:r>
            <w:r>
              <w:rPr>
                <w:rFonts w:hint="eastAsia"/>
              </w:rPr>
              <w:t>2</w:t>
            </w:r>
          </w:p>
          <w:p w14:paraId="041EE5D2">
            <w:r>
              <w:rPr>
                <w:rFonts w:hint="eastAsia"/>
              </w:rPr>
              <w:t>校内指引小桁架含画面2*1.5m</w:t>
            </w:r>
            <w:r>
              <w:rPr>
                <w:rFonts w:hint="eastAsia"/>
              </w:rPr>
              <w:tab/>
            </w:r>
            <w:r>
              <w:rPr>
                <w:rFonts w:hint="eastAsia"/>
              </w:rPr>
              <w:t>10</w:t>
            </w:r>
          </w:p>
          <w:p w14:paraId="4BBA3892">
            <w:r>
              <w:rPr>
                <w:rFonts w:hint="eastAsia"/>
              </w:rPr>
              <w:t>道旗5米</w:t>
            </w:r>
            <w:r>
              <w:rPr>
                <w:rFonts w:hint="eastAsia"/>
              </w:rPr>
              <w:tab/>
            </w:r>
            <w:r>
              <w:rPr>
                <w:rFonts w:hint="eastAsia"/>
              </w:rPr>
              <w:t>20</w:t>
            </w:r>
          </w:p>
          <w:p w14:paraId="7D10B5C6">
            <w:r>
              <w:rPr>
                <w:rFonts w:hint="eastAsia"/>
              </w:rPr>
              <w:t>大赛背景桁架+画面（拍照背景）8*3m</w:t>
            </w:r>
            <w:r>
              <w:rPr>
                <w:rFonts w:hint="eastAsia"/>
              </w:rPr>
              <w:tab/>
            </w:r>
            <w:r>
              <w:rPr>
                <w:rFonts w:hint="eastAsia"/>
              </w:rPr>
              <w:t>1</w:t>
            </w:r>
          </w:p>
          <w:p w14:paraId="640CB4BC">
            <w:r>
              <w:rPr>
                <w:rFonts w:hint="eastAsia"/>
              </w:rPr>
              <w:t>红地毯（从大楼外面铺到签到处）100㎡</w:t>
            </w:r>
            <w:r>
              <w:rPr>
                <w:rFonts w:hint="eastAsia"/>
              </w:rPr>
              <w:tab/>
            </w:r>
            <w:r>
              <w:rPr>
                <w:rFonts w:hint="eastAsia"/>
              </w:rPr>
              <w:t>100</w:t>
            </w:r>
          </w:p>
          <w:p w14:paraId="5CE7D567">
            <w:r>
              <w:rPr>
                <w:rFonts w:hint="eastAsia"/>
              </w:rPr>
              <w:t>红色条幅一条《第*届江西省大学生职业规划大赛大学生职业发展与就业指导课程教学赛道决赛》12m</w:t>
            </w:r>
            <w:r>
              <w:rPr>
                <w:rFonts w:hint="eastAsia"/>
              </w:rPr>
              <w:tab/>
            </w:r>
            <w:r>
              <w:rPr>
                <w:rFonts w:hint="eastAsia"/>
              </w:rPr>
              <w:t>1</w:t>
            </w:r>
          </w:p>
          <w:p w14:paraId="2A3E3F39">
            <w:r>
              <w:rPr>
                <w:rFonts w:hint="eastAsia"/>
              </w:rPr>
              <w:t>比赛服务签到处桁架含画面5*3m</w:t>
            </w:r>
            <w:r>
              <w:rPr>
                <w:rFonts w:hint="eastAsia"/>
              </w:rPr>
              <w:tab/>
            </w:r>
            <w:r>
              <w:rPr>
                <w:rFonts w:hint="eastAsia"/>
              </w:rPr>
              <w:t>1</w:t>
            </w:r>
          </w:p>
          <w:p w14:paraId="1A855D8A">
            <w:r>
              <w:rPr>
                <w:rFonts w:hint="eastAsia"/>
              </w:rPr>
              <w:t>大赛的打卡背景打卡造型（KT板组合）</w:t>
            </w:r>
            <w:r>
              <w:rPr>
                <w:rFonts w:hint="eastAsia"/>
              </w:rPr>
              <w:tab/>
            </w:r>
            <w:r>
              <w:rPr>
                <w:rFonts w:hint="eastAsia"/>
              </w:rPr>
              <w:t>1</w:t>
            </w:r>
          </w:p>
          <w:p w14:paraId="1CFEF7EB">
            <w:r>
              <w:rPr>
                <w:rFonts w:hint="eastAsia"/>
              </w:rPr>
              <w:t>1个箭头的地贴（大赛主题）</w:t>
            </w:r>
            <w:r>
              <w:rPr>
                <w:rFonts w:hint="eastAsia"/>
              </w:rPr>
              <w:tab/>
            </w:r>
            <w:r>
              <w:rPr>
                <w:rFonts w:hint="eastAsia"/>
              </w:rPr>
              <w:t>10</w:t>
            </w:r>
          </w:p>
          <w:p w14:paraId="5A952E11">
            <w:r>
              <w:rPr>
                <w:rFonts w:hint="eastAsia"/>
              </w:rPr>
              <w:t>参赛手册打印100本</w:t>
            </w:r>
            <w:r>
              <w:rPr>
                <w:rFonts w:hint="eastAsia"/>
              </w:rPr>
              <w:tab/>
            </w:r>
            <w:r>
              <w:rPr>
                <w:rFonts w:hint="eastAsia"/>
              </w:rPr>
              <w:t>100</w:t>
            </w:r>
          </w:p>
          <w:p w14:paraId="3FE3F7B2">
            <w:r>
              <w:rPr>
                <w:rFonts w:hint="eastAsia"/>
              </w:rPr>
              <w:t>评委手册-全本彩印，12p</w:t>
            </w:r>
            <w:r>
              <w:rPr>
                <w:rFonts w:hint="eastAsia"/>
              </w:rPr>
              <w:tab/>
            </w:r>
            <w:r>
              <w:rPr>
                <w:rFonts w:hint="eastAsia"/>
              </w:rPr>
              <w:t>20</w:t>
            </w:r>
          </w:p>
          <w:p w14:paraId="4500F2DE">
            <w:r>
              <w:rPr>
                <w:rFonts w:hint="eastAsia"/>
              </w:rPr>
              <w:t>南大LOGO的笔、纸巾、A4纸</w:t>
            </w:r>
            <w:r>
              <w:rPr>
                <w:rFonts w:hint="eastAsia"/>
              </w:rPr>
              <w:tab/>
            </w:r>
            <w:r>
              <w:rPr>
                <w:rFonts w:hint="eastAsia"/>
              </w:rPr>
              <w:t>100</w:t>
            </w:r>
          </w:p>
          <w:p w14:paraId="54B3A0DB">
            <w:r>
              <w:rPr>
                <w:rFonts w:hint="eastAsia"/>
              </w:rPr>
              <w:t>工作证(评委20+工作人员30+志愿者20+参赛代表50+观摩老师70+组委会10)插卡式，4种颜色20+50+120+10</w:t>
            </w:r>
            <w:r>
              <w:rPr>
                <w:rFonts w:hint="eastAsia"/>
              </w:rPr>
              <w:tab/>
            </w:r>
            <w:r>
              <w:rPr>
                <w:rFonts w:hint="eastAsia"/>
              </w:rPr>
              <w:t>180</w:t>
            </w:r>
          </w:p>
          <w:p w14:paraId="71DF645F">
            <w:r>
              <w:rPr>
                <w:rFonts w:hint="eastAsia"/>
              </w:rPr>
              <w:t>评委的衣服（评委20）</w:t>
            </w:r>
            <w:r>
              <w:rPr>
                <w:rFonts w:hint="eastAsia"/>
              </w:rPr>
              <w:tab/>
            </w:r>
            <w:r>
              <w:rPr>
                <w:rFonts w:hint="eastAsia"/>
              </w:rPr>
              <w:t>20</w:t>
            </w:r>
          </w:p>
          <w:p w14:paraId="5D0D4CE3">
            <w:r>
              <w:rPr>
                <w:rFonts w:hint="eastAsia"/>
              </w:rPr>
              <w:t>赛场内背景桁架+画面5*3m</w:t>
            </w:r>
            <w:r>
              <w:rPr>
                <w:rFonts w:hint="eastAsia"/>
              </w:rPr>
              <w:tab/>
            </w:r>
            <w:r>
              <w:rPr>
                <w:rFonts w:hint="eastAsia"/>
              </w:rPr>
              <w:t>2</w:t>
            </w:r>
          </w:p>
          <w:p w14:paraId="302F43E2">
            <w:r>
              <w:rPr>
                <w:rFonts w:hint="eastAsia"/>
              </w:rPr>
              <w:t>选手序号贴背胶</w:t>
            </w:r>
            <w:r>
              <w:rPr>
                <w:rFonts w:hint="eastAsia"/>
              </w:rPr>
              <w:tab/>
            </w:r>
            <w:r>
              <w:rPr>
                <w:rFonts w:hint="eastAsia"/>
              </w:rPr>
              <w:t>60</w:t>
            </w:r>
          </w:p>
          <w:p w14:paraId="6829DC51">
            <w:r>
              <w:rPr>
                <w:rFonts w:hint="eastAsia"/>
              </w:rPr>
              <w:t>桌签（评委）-仅内页20*10cm</w:t>
            </w:r>
            <w:r>
              <w:rPr>
                <w:rFonts w:hint="eastAsia"/>
              </w:rPr>
              <w:tab/>
            </w:r>
            <w:r>
              <w:rPr>
                <w:rFonts w:hint="eastAsia"/>
              </w:rPr>
              <w:t>16</w:t>
            </w:r>
          </w:p>
          <w:p w14:paraId="1B15A0CE">
            <w:r>
              <w:rPr>
                <w:rFonts w:hint="eastAsia"/>
              </w:rPr>
              <w:t>防风展架（比赛区域，请勿喧哗2个；赛场区域，非选手请勿进入1个）</w:t>
            </w:r>
            <w:r>
              <w:rPr>
                <w:rFonts w:hint="eastAsia"/>
              </w:rPr>
              <w:tab/>
            </w:r>
            <w:r>
              <w:rPr>
                <w:rFonts w:hint="eastAsia"/>
              </w:rPr>
              <w:t>3</w:t>
            </w:r>
          </w:p>
          <w:p w14:paraId="670A7880">
            <w:r>
              <w:rPr>
                <w:rFonts w:hint="eastAsia"/>
              </w:rPr>
              <w:t>1米线若干（隔离带）</w:t>
            </w:r>
            <w:r>
              <w:rPr>
                <w:rFonts w:hint="eastAsia"/>
              </w:rPr>
              <w:tab/>
            </w:r>
            <w:r>
              <w:rPr>
                <w:rFonts w:hint="eastAsia"/>
              </w:rPr>
              <w:t>12</w:t>
            </w:r>
          </w:p>
          <w:p w14:paraId="15E711AC">
            <w:r>
              <w:rPr>
                <w:rFonts w:hint="eastAsia"/>
              </w:rPr>
              <w:t>各区域门上背胶（高教组赛场1个，高职组赛场1个，评委休息区1个，总控室1个，观摩教室2个）</w:t>
            </w:r>
            <w:r>
              <w:rPr>
                <w:rFonts w:hint="eastAsia"/>
              </w:rPr>
              <w:tab/>
            </w:r>
            <w:r>
              <w:rPr>
                <w:rFonts w:hint="eastAsia"/>
              </w:rPr>
              <w:t>6</w:t>
            </w:r>
          </w:p>
          <w:p w14:paraId="6F72606F">
            <w:r>
              <w:rPr>
                <w:rFonts w:hint="eastAsia"/>
              </w:rPr>
              <w:t>箭头的地贴（高教组由此行；高职组由此行，各3个）</w:t>
            </w:r>
            <w:r>
              <w:rPr>
                <w:rFonts w:hint="eastAsia"/>
              </w:rPr>
              <w:tab/>
            </w:r>
            <w:r>
              <w:rPr>
                <w:rFonts w:hint="eastAsia"/>
              </w:rPr>
              <w:t>9</w:t>
            </w:r>
          </w:p>
          <w:p w14:paraId="6F7310B4">
            <w:r>
              <w:rPr>
                <w:rFonts w:hint="eastAsia"/>
              </w:rPr>
              <w:t>荣誉证书</w:t>
            </w:r>
            <w:r>
              <w:rPr>
                <w:rFonts w:hint="eastAsia"/>
              </w:rPr>
              <w:tab/>
            </w:r>
            <w:r>
              <w:rPr>
                <w:rFonts w:hint="eastAsia"/>
              </w:rPr>
              <w:t>210</w:t>
            </w:r>
          </w:p>
          <w:p w14:paraId="283AFD6E">
            <w:r>
              <w:rPr>
                <w:rFonts w:hint="eastAsia"/>
              </w:rPr>
              <w:t>信封</w:t>
            </w:r>
            <w:r>
              <w:rPr>
                <w:rFonts w:hint="eastAsia"/>
              </w:rPr>
              <w:tab/>
            </w:r>
            <w:r>
              <w:rPr>
                <w:rFonts w:hint="eastAsia"/>
              </w:rPr>
              <w:t>30</w:t>
            </w:r>
          </w:p>
        </w:tc>
      </w:tr>
    </w:tbl>
    <w:p w14:paraId="4EDCF685">
      <w:pPr>
        <w:autoSpaceDE w:val="0"/>
        <w:autoSpaceDN w:val="0"/>
        <w:adjustRightInd w:val="0"/>
        <w:snapToGrid w:val="0"/>
        <w:spacing w:line="360" w:lineRule="auto"/>
        <w:ind w:firstLine="480" w:firstLineChars="200"/>
        <w:jc w:val="left"/>
        <w:rPr>
          <w:rFonts w:ascii="仿宋" w:hAnsi="仿宋" w:eastAsia="仿宋" w:cs="宋体"/>
          <w:snapToGrid w:val="0"/>
          <w:kern w:val="0"/>
          <w:sz w:val="24"/>
          <w:lang w:val="zh-CN"/>
        </w:rPr>
      </w:pPr>
      <w:r>
        <w:rPr>
          <w:rFonts w:hint="eastAsia" w:ascii="仿宋" w:hAnsi="仿宋" w:eastAsia="仿宋" w:cs="宋体"/>
          <w:snapToGrid w:val="0"/>
          <w:kern w:val="0"/>
          <w:sz w:val="24"/>
          <w:lang w:val="zh-CN"/>
        </w:rPr>
        <w:t>（编制说明：重要性可用</w:t>
      </w:r>
      <w:r>
        <w:rPr>
          <w:rFonts w:hint="eastAsia" w:ascii="仿宋" w:hAnsi="仿宋" w:eastAsia="仿宋" w:cs="宋体"/>
          <w:b/>
          <w:bCs/>
          <w:snapToGrid w:val="0"/>
          <w:kern w:val="0"/>
          <w:sz w:val="24"/>
          <w:lang w:val="zh-CN"/>
        </w:rPr>
        <w:t>“★”、</w:t>
      </w:r>
      <w:r>
        <w:rPr>
          <w:rFonts w:ascii="仿宋" w:hAnsi="仿宋" w:eastAsia="仿宋"/>
          <w:sz w:val="24"/>
        </w:rPr>
        <w:t>“▲”</w:t>
      </w:r>
      <w:r>
        <w:rPr>
          <w:rFonts w:hint="eastAsia" w:ascii="仿宋" w:hAnsi="仿宋" w:eastAsia="仿宋" w:cs="宋体"/>
          <w:snapToGrid w:val="0"/>
          <w:kern w:val="0"/>
          <w:sz w:val="24"/>
        </w:rPr>
        <w:t>和</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lang w:val="zh-CN"/>
        </w:rPr>
        <w:t>表示，</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lang w:val="zh-CN"/>
        </w:rPr>
        <w:t>代表</w:t>
      </w:r>
      <w:r>
        <w:rPr>
          <w:rFonts w:hint="eastAsia" w:ascii="仿宋" w:hAnsi="仿宋" w:eastAsia="仿宋" w:cs="宋体"/>
          <w:b/>
          <w:snapToGrid w:val="0"/>
          <w:color w:val="FF0000"/>
          <w:kern w:val="0"/>
          <w:sz w:val="24"/>
          <w:lang w:val="zh-CN"/>
        </w:rPr>
        <w:t>实质性指标</w:t>
      </w:r>
      <w:r>
        <w:rPr>
          <w:rFonts w:hint="eastAsia" w:ascii="仿宋" w:hAnsi="仿宋" w:eastAsia="仿宋" w:cs="宋体"/>
          <w:snapToGrid w:val="0"/>
          <w:kern w:val="0"/>
          <w:sz w:val="24"/>
          <w:lang w:val="zh-CN"/>
        </w:rPr>
        <w:t>，不满足该指标要求将导致投标</w:t>
      </w:r>
      <w:r>
        <w:rPr>
          <w:rFonts w:hint="eastAsia" w:ascii="仿宋" w:hAnsi="仿宋" w:eastAsia="仿宋" w:cs="宋体"/>
          <w:snapToGrid w:val="0"/>
          <w:kern w:val="0"/>
          <w:sz w:val="24"/>
        </w:rPr>
        <w:t>/</w:t>
      </w:r>
      <w:r>
        <w:rPr>
          <w:rFonts w:hint="eastAsia" w:ascii="仿宋" w:hAnsi="仿宋" w:eastAsia="仿宋" w:cs="宋体"/>
          <w:snapToGrid w:val="0"/>
          <w:kern w:val="0"/>
          <w:sz w:val="24"/>
          <w:lang w:val="zh-CN"/>
        </w:rPr>
        <w:t>响应无效，只允许正偏离；</w:t>
      </w:r>
      <w:r>
        <w:rPr>
          <w:rFonts w:ascii="仿宋" w:hAnsi="仿宋" w:eastAsia="仿宋"/>
          <w:sz w:val="24"/>
        </w:rPr>
        <w:t>“▲”</w:t>
      </w:r>
      <w:r>
        <w:rPr>
          <w:rFonts w:hint="eastAsia" w:ascii="仿宋" w:hAnsi="仿宋" w:eastAsia="仿宋" w:cs="宋体"/>
          <w:snapToGrid w:val="0"/>
          <w:kern w:val="0"/>
          <w:sz w:val="24"/>
        </w:rPr>
        <w:t>代表</w:t>
      </w:r>
      <w:r>
        <w:rPr>
          <w:rFonts w:hint="eastAsia" w:ascii="仿宋" w:hAnsi="仿宋" w:eastAsia="仿宋" w:cs="宋体"/>
          <w:b/>
          <w:snapToGrid w:val="0"/>
          <w:color w:val="FF0000"/>
          <w:kern w:val="0"/>
          <w:sz w:val="24"/>
        </w:rPr>
        <w:t>重要指标</w:t>
      </w:r>
      <w:r>
        <w:rPr>
          <w:rFonts w:hint="eastAsia" w:ascii="仿宋" w:hAnsi="仿宋" w:eastAsia="仿宋" w:cs="宋体"/>
          <w:snapToGrid w:val="0"/>
          <w:kern w:val="0"/>
          <w:sz w:val="24"/>
        </w:rPr>
        <w:t>，允许正偏离或负偏离；</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rPr>
        <w:t>代表</w:t>
      </w:r>
      <w:r>
        <w:rPr>
          <w:rFonts w:hint="eastAsia" w:ascii="仿宋" w:hAnsi="仿宋" w:eastAsia="仿宋" w:cs="宋体"/>
          <w:b/>
          <w:snapToGrid w:val="0"/>
          <w:color w:val="FF0000"/>
          <w:kern w:val="0"/>
          <w:sz w:val="24"/>
        </w:rPr>
        <w:t>一般指标</w:t>
      </w:r>
      <w:r>
        <w:rPr>
          <w:rFonts w:hint="eastAsia" w:ascii="仿宋" w:hAnsi="仿宋" w:eastAsia="仿宋" w:cs="宋体"/>
          <w:snapToGrid w:val="0"/>
          <w:kern w:val="0"/>
          <w:sz w:val="24"/>
        </w:rPr>
        <w:t>，允许正偏离或负偏离</w:t>
      </w:r>
      <w:r>
        <w:rPr>
          <w:rFonts w:hint="eastAsia" w:ascii="仿宋" w:hAnsi="仿宋" w:eastAsia="仿宋"/>
          <w:sz w:val="24"/>
          <w:lang w:val="zh-CN"/>
        </w:rPr>
        <w:t>。</w:t>
      </w:r>
      <w:r>
        <w:rPr>
          <w:rFonts w:hint="eastAsia" w:ascii="仿宋" w:hAnsi="仿宋" w:eastAsia="仿宋" w:cs="宋体"/>
          <w:snapToGrid w:val="0"/>
          <w:kern w:val="0"/>
          <w:sz w:val="24"/>
          <w:lang w:val="zh-CN"/>
        </w:rPr>
        <w:t>）</w:t>
      </w:r>
    </w:p>
    <w:p w14:paraId="4730F452">
      <w:pPr>
        <w:autoSpaceDE w:val="0"/>
        <w:autoSpaceDN w:val="0"/>
        <w:adjustRightInd w:val="0"/>
        <w:snapToGrid w:val="0"/>
        <w:spacing w:line="360" w:lineRule="auto"/>
        <w:ind w:firstLine="640" w:firstLineChars="200"/>
        <w:jc w:val="left"/>
        <w:rPr>
          <w:rFonts w:ascii="仿宋" w:hAnsi="仿宋" w:eastAsia="仿宋" w:cs="宋体"/>
          <w:snapToGrid w:val="0"/>
          <w:kern w:val="0"/>
          <w:sz w:val="32"/>
          <w:szCs w:val="32"/>
          <w:lang w:val="zh-CN"/>
        </w:rPr>
      </w:pPr>
    </w:p>
    <w:p w14:paraId="62A03F10">
      <w:pPr>
        <w:numPr>
          <w:ilvl w:val="0"/>
          <w:numId w:val="9"/>
        </w:numPr>
        <w:autoSpaceDE w:val="0"/>
        <w:autoSpaceDN w:val="0"/>
        <w:adjustRightInd w:val="0"/>
        <w:snapToGrid w:val="0"/>
        <w:spacing w:before="156" w:beforeLines="50" w:line="360" w:lineRule="auto"/>
        <w:ind w:left="420" w:leftChars="200"/>
        <w:jc w:val="left"/>
        <w:rPr>
          <w:rFonts w:ascii="仿宋" w:hAnsi="仿宋" w:eastAsia="仿宋"/>
          <w:b/>
          <w:sz w:val="32"/>
          <w:szCs w:val="32"/>
        </w:rPr>
      </w:pPr>
      <w:r>
        <w:rPr>
          <w:rFonts w:hint="eastAsia" w:ascii="仿宋" w:hAnsi="仿宋" w:eastAsia="仿宋"/>
          <w:b/>
          <w:sz w:val="32"/>
          <w:szCs w:val="32"/>
        </w:rPr>
        <w:t>商务要求</w:t>
      </w:r>
    </w:p>
    <w:tbl>
      <w:tblPr>
        <w:tblStyle w:val="13"/>
        <w:tblpPr w:leftFromText="180" w:rightFromText="180" w:vertAnchor="text" w:horzAnchor="margin" w:tblpY="156"/>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459"/>
        <w:gridCol w:w="4033"/>
      </w:tblGrid>
      <w:tr w14:paraId="7BC1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425" w:type="pct"/>
            <w:vAlign w:val="center"/>
          </w:tcPr>
          <w:p w14:paraId="10C710B2">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序号</w:t>
            </w:r>
          </w:p>
        </w:tc>
        <w:tc>
          <w:tcPr>
            <w:tcW w:w="2112" w:type="pct"/>
            <w:vAlign w:val="center"/>
          </w:tcPr>
          <w:p w14:paraId="290A9663">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指标项</w:t>
            </w:r>
          </w:p>
        </w:tc>
        <w:tc>
          <w:tcPr>
            <w:tcW w:w="2462" w:type="pct"/>
            <w:vAlign w:val="center"/>
          </w:tcPr>
          <w:p w14:paraId="1A536C78">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指标要求</w:t>
            </w:r>
          </w:p>
        </w:tc>
      </w:tr>
      <w:tr w14:paraId="074F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25" w:type="pct"/>
            <w:vAlign w:val="center"/>
          </w:tcPr>
          <w:p w14:paraId="01620292">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1</w:t>
            </w:r>
          </w:p>
        </w:tc>
        <w:tc>
          <w:tcPr>
            <w:tcW w:w="2112" w:type="pct"/>
            <w:vAlign w:val="center"/>
          </w:tcPr>
          <w:p w14:paraId="1A88BA8B">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供货期/服务期/工期</w:t>
            </w:r>
          </w:p>
        </w:tc>
        <w:tc>
          <w:tcPr>
            <w:tcW w:w="2462" w:type="pct"/>
          </w:tcPr>
          <w:p w14:paraId="06D18A17">
            <w:pPr>
              <w:autoSpaceDE w:val="0"/>
              <w:autoSpaceDN w:val="0"/>
              <w:adjustRightInd w:val="0"/>
              <w:snapToGrid w:val="0"/>
              <w:spacing w:line="360" w:lineRule="auto"/>
              <w:jc w:val="left"/>
              <w:rPr>
                <w:rFonts w:ascii="仿宋" w:hAnsi="仿宋" w:eastAsia="仿宋" w:cs="宋体"/>
                <w:snapToGrid w:val="0"/>
                <w:kern w:val="0"/>
                <w:sz w:val="24"/>
              </w:rPr>
            </w:pPr>
            <w:r>
              <w:rPr>
                <w:rFonts w:ascii="仿宋" w:hAnsi="仿宋" w:eastAsia="仿宋" w:cs="宋体"/>
                <w:snapToGrid w:val="0"/>
                <w:kern w:val="0"/>
                <w:sz w:val="24"/>
              </w:rPr>
              <w:t>合同签订后至</w:t>
            </w:r>
            <w:r>
              <w:rPr>
                <w:rFonts w:hint="eastAsia" w:ascii="仿宋" w:hAnsi="仿宋" w:eastAsia="仿宋" w:cs="宋体"/>
                <w:snapToGrid w:val="0"/>
                <w:kern w:val="0"/>
                <w:sz w:val="24"/>
              </w:rPr>
              <w:t>赛事服务</w:t>
            </w:r>
            <w:r>
              <w:rPr>
                <w:rFonts w:ascii="仿宋" w:hAnsi="仿宋" w:eastAsia="仿宋" w:cs="宋体"/>
                <w:snapToGrid w:val="0"/>
                <w:kern w:val="0"/>
                <w:sz w:val="24"/>
              </w:rPr>
              <w:t>结束</w:t>
            </w:r>
            <w:r>
              <w:rPr>
                <w:rFonts w:hint="eastAsia" w:ascii="仿宋" w:hAnsi="仿宋" w:eastAsia="仿宋" w:cs="宋体"/>
                <w:snapToGrid w:val="0"/>
                <w:kern w:val="0"/>
                <w:sz w:val="24"/>
              </w:rPr>
              <w:t>为止</w:t>
            </w:r>
            <w:r>
              <w:rPr>
                <w:rFonts w:ascii="仿宋" w:hAnsi="仿宋" w:eastAsia="仿宋" w:cs="宋体"/>
                <w:snapToGrid w:val="0"/>
                <w:kern w:val="0"/>
                <w:sz w:val="24"/>
              </w:rPr>
              <w:t>。</w:t>
            </w:r>
          </w:p>
        </w:tc>
      </w:tr>
      <w:tr w14:paraId="426E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25" w:type="pct"/>
            <w:vAlign w:val="center"/>
          </w:tcPr>
          <w:p w14:paraId="0DEECE28">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2</w:t>
            </w:r>
          </w:p>
        </w:tc>
        <w:tc>
          <w:tcPr>
            <w:tcW w:w="2112" w:type="pct"/>
            <w:vAlign w:val="center"/>
          </w:tcPr>
          <w:p w14:paraId="7FAE1BE4">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质保期</w:t>
            </w:r>
          </w:p>
        </w:tc>
        <w:tc>
          <w:tcPr>
            <w:tcW w:w="2462" w:type="pct"/>
            <w:vAlign w:val="center"/>
          </w:tcPr>
          <w:p w14:paraId="7FFD3574">
            <w:pPr>
              <w:autoSpaceDE w:val="0"/>
              <w:autoSpaceDN w:val="0"/>
              <w:adjustRightInd w:val="0"/>
              <w:snapToGrid w:val="0"/>
              <w:spacing w:line="360" w:lineRule="auto"/>
              <w:rPr>
                <w:rFonts w:ascii="仿宋" w:hAnsi="仿宋" w:eastAsia="仿宋" w:cs="宋体"/>
                <w:snapToGrid w:val="0"/>
                <w:kern w:val="0"/>
                <w:sz w:val="24"/>
              </w:rPr>
            </w:pPr>
            <w:r>
              <w:rPr>
                <w:rFonts w:hint="eastAsia" w:ascii="仿宋" w:hAnsi="仿宋" w:eastAsia="仿宋" w:cs="宋体"/>
                <w:snapToGrid w:val="0"/>
                <w:kern w:val="0"/>
                <w:sz w:val="24"/>
              </w:rPr>
              <w:t>1年</w:t>
            </w:r>
          </w:p>
        </w:tc>
      </w:tr>
      <w:tr w14:paraId="4FD5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2EC529D5">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3</w:t>
            </w:r>
          </w:p>
        </w:tc>
        <w:tc>
          <w:tcPr>
            <w:tcW w:w="2112" w:type="pct"/>
            <w:vAlign w:val="center"/>
          </w:tcPr>
          <w:p w14:paraId="34A427D7">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包装和</w:t>
            </w:r>
          </w:p>
          <w:p w14:paraId="5AD01236">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运输</w:t>
            </w:r>
          </w:p>
        </w:tc>
        <w:tc>
          <w:tcPr>
            <w:tcW w:w="2462" w:type="pct"/>
          </w:tcPr>
          <w:p w14:paraId="123BD3BF">
            <w:pPr>
              <w:widowControl/>
              <w:autoSpaceDE w:val="0"/>
              <w:autoSpaceDN w:val="0"/>
              <w:adjustRightInd w:val="0"/>
              <w:snapToGrid w:val="0"/>
              <w:spacing w:line="360" w:lineRule="auto"/>
              <w:jc w:val="left"/>
              <w:rPr>
                <w:rFonts w:ascii="仿宋" w:hAnsi="仿宋" w:eastAsia="仿宋" w:cs="宋体"/>
                <w:snapToGrid w:val="0"/>
                <w:kern w:val="0"/>
                <w:sz w:val="24"/>
              </w:rPr>
            </w:pPr>
            <w:r>
              <w:rPr>
                <w:rFonts w:hint="eastAsia" w:ascii="仿宋" w:hAnsi="仿宋" w:eastAsia="仿宋" w:cs="宋体"/>
                <w:snapToGrid w:val="0"/>
                <w:kern w:val="0"/>
                <w:sz w:val="24"/>
              </w:rPr>
              <w:t>遵循采购人要求</w:t>
            </w:r>
          </w:p>
        </w:tc>
      </w:tr>
      <w:tr w14:paraId="3A4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720B4F29">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4</w:t>
            </w:r>
          </w:p>
        </w:tc>
        <w:tc>
          <w:tcPr>
            <w:tcW w:w="2112" w:type="pct"/>
            <w:vAlign w:val="center"/>
          </w:tcPr>
          <w:p w14:paraId="16B9DE7B">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服务标准/</w:t>
            </w:r>
          </w:p>
          <w:p w14:paraId="5DAC187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售后服务要求</w:t>
            </w:r>
          </w:p>
        </w:tc>
        <w:tc>
          <w:tcPr>
            <w:tcW w:w="2462" w:type="pct"/>
          </w:tcPr>
          <w:p w14:paraId="099551C7">
            <w:pPr>
              <w:widowControl/>
              <w:autoSpaceDE w:val="0"/>
              <w:autoSpaceDN w:val="0"/>
              <w:adjustRightInd w:val="0"/>
              <w:snapToGrid w:val="0"/>
              <w:spacing w:line="360" w:lineRule="auto"/>
              <w:jc w:val="left"/>
              <w:rPr>
                <w:rFonts w:ascii="仿宋" w:hAnsi="仿宋" w:eastAsia="仿宋" w:cs="宋体"/>
                <w:snapToGrid w:val="0"/>
                <w:kern w:val="0"/>
                <w:sz w:val="24"/>
                <w:lang w:val="zh-CN"/>
              </w:rPr>
            </w:pPr>
            <w:r>
              <w:rPr>
                <w:rFonts w:hint="eastAsia" w:ascii="仿宋" w:hAnsi="仿宋" w:eastAsia="仿宋" w:cs="宋体"/>
                <w:snapToGrid w:val="0"/>
                <w:kern w:val="0"/>
                <w:sz w:val="24"/>
                <w:lang w:val="zh-CN"/>
              </w:rPr>
              <w:t>（1）免费售后服务期限：1年。</w:t>
            </w:r>
          </w:p>
          <w:p w14:paraId="1C3D012A">
            <w:pPr>
              <w:widowControl/>
              <w:autoSpaceDE w:val="0"/>
              <w:autoSpaceDN w:val="0"/>
              <w:adjustRightInd w:val="0"/>
              <w:snapToGrid w:val="0"/>
              <w:spacing w:line="360" w:lineRule="auto"/>
              <w:jc w:val="left"/>
              <w:rPr>
                <w:rFonts w:ascii="仿宋" w:hAnsi="仿宋" w:eastAsia="仿宋" w:cs="宋体"/>
                <w:snapToGrid w:val="0"/>
                <w:color w:val="FF0000"/>
                <w:kern w:val="0"/>
                <w:sz w:val="24"/>
                <w:lang w:val="zh-CN"/>
              </w:rPr>
            </w:pPr>
            <w:r>
              <w:rPr>
                <w:rFonts w:hint="eastAsia" w:ascii="仿宋" w:hAnsi="仿宋" w:eastAsia="仿宋" w:cs="宋体"/>
                <w:snapToGrid w:val="0"/>
                <w:kern w:val="0"/>
                <w:sz w:val="24"/>
                <w:lang w:val="zh-CN"/>
              </w:rPr>
              <w:t>（2）中选供应商在交付及验收活动中必须遵守采购人的有关规定。</w:t>
            </w:r>
          </w:p>
        </w:tc>
      </w:tr>
      <w:tr w14:paraId="7169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5" w:type="pct"/>
            <w:vAlign w:val="center"/>
          </w:tcPr>
          <w:p w14:paraId="290544BB">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5</w:t>
            </w:r>
          </w:p>
        </w:tc>
        <w:tc>
          <w:tcPr>
            <w:tcW w:w="2112" w:type="pct"/>
            <w:vAlign w:val="center"/>
          </w:tcPr>
          <w:p w14:paraId="5AB0C2D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培训要求</w:t>
            </w:r>
          </w:p>
        </w:tc>
        <w:tc>
          <w:tcPr>
            <w:tcW w:w="2462" w:type="pct"/>
          </w:tcPr>
          <w:p w14:paraId="5517A7B0">
            <w:pPr>
              <w:widowControl/>
              <w:autoSpaceDE w:val="0"/>
              <w:autoSpaceDN w:val="0"/>
              <w:adjustRightInd w:val="0"/>
              <w:snapToGrid w:val="0"/>
              <w:spacing w:line="360" w:lineRule="auto"/>
              <w:jc w:val="left"/>
              <w:rPr>
                <w:rFonts w:ascii="仿宋" w:hAnsi="仿宋" w:eastAsia="仿宋" w:cs="宋体"/>
                <w:snapToGrid w:val="0"/>
                <w:color w:val="FF0000"/>
                <w:kern w:val="0"/>
                <w:sz w:val="24"/>
              </w:rPr>
            </w:pPr>
            <w:r>
              <w:rPr>
                <w:rFonts w:hint="eastAsia" w:ascii="仿宋" w:hAnsi="仿宋" w:eastAsia="仿宋" w:cs="宋体"/>
                <w:snapToGrid w:val="0"/>
                <w:kern w:val="0"/>
                <w:sz w:val="24"/>
              </w:rPr>
              <w:t>遵循采购人要求</w:t>
            </w:r>
          </w:p>
        </w:tc>
      </w:tr>
      <w:tr w14:paraId="5D07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5" w:type="pct"/>
            <w:vAlign w:val="center"/>
          </w:tcPr>
          <w:p w14:paraId="29E28162">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6</w:t>
            </w:r>
          </w:p>
        </w:tc>
        <w:tc>
          <w:tcPr>
            <w:tcW w:w="2112" w:type="pct"/>
            <w:vAlign w:val="center"/>
          </w:tcPr>
          <w:p w14:paraId="57A28580">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验收标准</w:t>
            </w:r>
          </w:p>
        </w:tc>
        <w:tc>
          <w:tcPr>
            <w:tcW w:w="2462" w:type="pct"/>
          </w:tcPr>
          <w:p w14:paraId="3491B834">
            <w:pPr>
              <w:widowControl/>
              <w:autoSpaceDE w:val="0"/>
              <w:autoSpaceDN w:val="0"/>
              <w:adjustRightInd w:val="0"/>
              <w:snapToGrid w:val="0"/>
              <w:spacing w:line="360" w:lineRule="auto"/>
              <w:jc w:val="left"/>
              <w:rPr>
                <w:rFonts w:ascii="仿宋" w:hAnsi="仿宋" w:eastAsia="仿宋" w:cs="宋体"/>
                <w:snapToGrid w:val="0"/>
                <w:kern w:val="0"/>
                <w:sz w:val="24"/>
                <w:lang w:val="zh-CN"/>
              </w:rPr>
            </w:pPr>
            <w:r>
              <w:rPr>
                <w:rFonts w:hint="eastAsia" w:ascii="仿宋" w:hAnsi="仿宋" w:eastAsia="仿宋" w:cs="宋体"/>
                <w:snapToGrid w:val="0"/>
                <w:kern w:val="0"/>
                <w:sz w:val="24"/>
                <w:lang w:val="zh-CN"/>
              </w:rPr>
              <w:t>中选供应商应按照合同约定按时</w:t>
            </w:r>
            <w:r>
              <w:rPr>
                <w:rFonts w:hint="eastAsia" w:ascii="仿宋" w:hAnsi="仿宋" w:eastAsia="仿宋" w:cs="宋体"/>
                <w:snapToGrid w:val="0"/>
                <w:kern w:val="0"/>
                <w:sz w:val="24"/>
              </w:rPr>
              <w:t>间</w:t>
            </w:r>
            <w:r>
              <w:rPr>
                <w:rFonts w:hint="eastAsia" w:ascii="仿宋" w:hAnsi="仿宋" w:eastAsia="仿宋" w:cs="宋体"/>
                <w:snapToGrid w:val="0"/>
                <w:kern w:val="0"/>
                <w:sz w:val="24"/>
                <w:lang w:val="zh-CN"/>
              </w:rPr>
              <w:t>进行服务，并按合同、</w:t>
            </w:r>
            <w:r>
              <w:rPr>
                <w:rFonts w:hint="eastAsia" w:ascii="仿宋" w:hAnsi="仿宋" w:eastAsia="仿宋" w:cs="宋体"/>
                <w:snapToGrid w:val="0"/>
                <w:kern w:val="0"/>
                <w:sz w:val="24"/>
              </w:rPr>
              <w:t>采购</w:t>
            </w:r>
            <w:r>
              <w:rPr>
                <w:rFonts w:hint="eastAsia" w:ascii="仿宋" w:hAnsi="仿宋" w:eastAsia="仿宋" w:cs="宋体"/>
                <w:snapToGrid w:val="0"/>
                <w:kern w:val="0"/>
                <w:sz w:val="24"/>
                <w:lang w:val="zh-CN"/>
              </w:rPr>
              <w:t>文件等完成该项目的各项服务要求，中选供应商配合采购人填写项目（服务）验收材料后，采购人按合同、</w:t>
            </w:r>
            <w:r>
              <w:rPr>
                <w:rFonts w:hint="eastAsia" w:ascii="仿宋" w:hAnsi="仿宋" w:eastAsia="仿宋" w:cs="宋体"/>
                <w:snapToGrid w:val="0"/>
                <w:kern w:val="0"/>
                <w:sz w:val="24"/>
              </w:rPr>
              <w:t>采购文件</w:t>
            </w:r>
            <w:r>
              <w:rPr>
                <w:rFonts w:hint="eastAsia" w:ascii="仿宋" w:hAnsi="仿宋" w:eastAsia="仿宋" w:cs="宋体"/>
                <w:snapToGrid w:val="0"/>
                <w:kern w:val="0"/>
                <w:sz w:val="24"/>
                <w:lang w:val="zh-CN"/>
              </w:rPr>
              <w:t>及</w:t>
            </w:r>
            <w:r>
              <w:rPr>
                <w:rFonts w:hint="eastAsia" w:ascii="仿宋" w:hAnsi="仿宋" w:eastAsia="仿宋" w:cs="宋体"/>
                <w:snapToGrid w:val="0"/>
                <w:kern w:val="0"/>
                <w:sz w:val="24"/>
              </w:rPr>
              <w:t>投标</w:t>
            </w:r>
            <w:r>
              <w:rPr>
                <w:rFonts w:hint="eastAsia" w:ascii="仿宋" w:hAnsi="仿宋" w:eastAsia="仿宋" w:cs="宋体"/>
                <w:snapToGrid w:val="0"/>
                <w:kern w:val="0"/>
                <w:sz w:val="24"/>
                <w:lang w:val="zh-CN"/>
              </w:rPr>
              <w:t>文件中服务要求进行验收，验收地点由采购人指定。</w:t>
            </w:r>
          </w:p>
        </w:tc>
      </w:tr>
      <w:tr w14:paraId="5EB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25" w:type="pct"/>
            <w:vAlign w:val="center"/>
          </w:tcPr>
          <w:p w14:paraId="2D00EEF5">
            <w:pPr>
              <w:autoSpaceDE w:val="0"/>
              <w:autoSpaceDN w:val="0"/>
              <w:adjustRightInd w:val="0"/>
              <w:snapToGrid w:val="0"/>
              <w:jc w:val="center"/>
              <w:rPr>
                <w:rFonts w:ascii="仿宋" w:hAnsi="仿宋" w:eastAsia="仿宋" w:cs="宋体"/>
                <w:snapToGrid w:val="0"/>
                <w:kern w:val="0"/>
                <w:sz w:val="24"/>
                <w:lang w:val="zh-CN"/>
              </w:rPr>
            </w:pPr>
            <w:r>
              <w:rPr>
                <w:rFonts w:ascii="仿宋" w:hAnsi="仿宋" w:eastAsia="仿宋" w:cs="宋体"/>
                <w:snapToGrid w:val="0"/>
                <w:kern w:val="0"/>
                <w:sz w:val="24"/>
                <w:lang w:val="zh-CN"/>
              </w:rPr>
              <w:t>7</w:t>
            </w:r>
          </w:p>
        </w:tc>
        <w:tc>
          <w:tcPr>
            <w:tcW w:w="2112" w:type="pct"/>
            <w:vAlign w:val="center"/>
          </w:tcPr>
          <w:p w14:paraId="5250108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交货/服务/建设地点</w:t>
            </w:r>
          </w:p>
        </w:tc>
        <w:tc>
          <w:tcPr>
            <w:tcW w:w="2462" w:type="pct"/>
          </w:tcPr>
          <w:p w14:paraId="3D057158">
            <w:pPr>
              <w:widowControl/>
              <w:autoSpaceDE w:val="0"/>
              <w:autoSpaceDN w:val="0"/>
              <w:adjustRightInd w:val="0"/>
              <w:snapToGrid w:val="0"/>
              <w:spacing w:line="360" w:lineRule="auto"/>
              <w:jc w:val="left"/>
              <w:rPr>
                <w:rFonts w:ascii="仿宋" w:hAnsi="仿宋" w:eastAsia="仿宋" w:cs="宋体"/>
                <w:snapToGrid w:val="0"/>
                <w:kern w:val="0"/>
                <w:sz w:val="24"/>
              </w:rPr>
            </w:pPr>
            <w:r>
              <w:rPr>
                <w:rFonts w:hint="eastAsia" w:ascii="仿宋" w:hAnsi="仿宋" w:eastAsia="仿宋" w:cs="宋体"/>
                <w:snapToGrid w:val="0"/>
                <w:kern w:val="0"/>
                <w:sz w:val="24"/>
              </w:rPr>
              <w:t>采购人指定地点</w:t>
            </w:r>
          </w:p>
        </w:tc>
      </w:tr>
      <w:tr w14:paraId="542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5" w:type="pct"/>
            <w:vAlign w:val="center"/>
          </w:tcPr>
          <w:p w14:paraId="551A4D52">
            <w:pPr>
              <w:autoSpaceDE w:val="0"/>
              <w:autoSpaceDN w:val="0"/>
              <w:adjustRightInd w:val="0"/>
              <w:snapToGrid w:val="0"/>
              <w:jc w:val="center"/>
              <w:rPr>
                <w:rFonts w:ascii="仿宋" w:hAnsi="仿宋" w:eastAsia="仿宋" w:cs="宋体"/>
                <w:snapToGrid w:val="0"/>
                <w:kern w:val="0"/>
                <w:sz w:val="24"/>
              </w:rPr>
            </w:pPr>
            <w:r>
              <w:rPr>
                <w:rFonts w:hint="eastAsia" w:ascii="仿宋" w:hAnsi="仿宋" w:eastAsia="仿宋" w:cs="宋体"/>
                <w:snapToGrid w:val="0"/>
                <w:kern w:val="0"/>
                <w:sz w:val="24"/>
              </w:rPr>
              <w:t>8</w:t>
            </w:r>
          </w:p>
        </w:tc>
        <w:tc>
          <w:tcPr>
            <w:tcW w:w="2112" w:type="pct"/>
            <w:vAlign w:val="center"/>
          </w:tcPr>
          <w:p w14:paraId="2247FA82">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付款方式</w:t>
            </w:r>
          </w:p>
        </w:tc>
        <w:tc>
          <w:tcPr>
            <w:tcW w:w="2462" w:type="pct"/>
          </w:tcPr>
          <w:p w14:paraId="334421D4">
            <w:pPr>
              <w:widowControl/>
              <w:autoSpaceDE w:val="0"/>
              <w:autoSpaceDN w:val="0"/>
              <w:adjustRightInd w:val="0"/>
              <w:snapToGrid w:val="0"/>
              <w:spacing w:line="360" w:lineRule="auto"/>
              <w:jc w:val="left"/>
              <w:rPr>
                <w:rFonts w:ascii="仿宋" w:hAnsi="仿宋" w:eastAsia="仿宋" w:cs="宋体"/>
                <w:snapToGrid w:val="0"/>
                <w:kern w:val="0"/>
                <w:sz w:val="24"/>
              </w:rPr>
            </w:pPr>
            <w:r>
              <w:rPr>
                <w:rFonts w:hint="eastAsia" w:ascii="仿宋" w:hAnsi="仿宋" w:eastAsia="仿宋" w:cs="宋体"/>
                <w:snapToGrid w:val="0"/>
                <w:kern w:val="0"/>
                <w:sz w:val="24"/>
              </w:rPr>
              <w:t>签订合同后，合同款经学校验收合格后5个工作日内支付完毕。</w:t>
            </w:r>
          </w:p>
        </w:tc>
      </w:tr>
      <w:tr w14:paraId="11A0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5" w:type="pct"/>
            <w:vAlign w:val="center"/>
          </w:tcPr>
          <w:p w14:paraId="5C804ECA">
            <w:pPr>
              <w:autoSpaceDE w:val="0"/>
              <w:autoSpaceDN w:val="0"/>
              <w:adjustRightInd w:val="0"/>
              <w:snapToGrid w:val="0"/>
              <w:jc w:val="center"/>
              <w:rPr>
                <w:rFonts w:ascii="仿宋" w:hAnsi="仿宋" w:eastAsia="仿宋" w:cs="宋体"/>
                <w:snapToGrid w:val="0"/>
                <w:kern w:val="0"/>
                <w:sz w:val="24"/>
              </w:rPr>
            </w:pPr>
            <w:r>
              <w:rPr>
                <w:rFonts w:hint="eastAsia" w:ascii="仿宋" w:hAnsi="仿宋" w:eastAsia="仿宋" w:cs="宋体"/>
                <w:snapToGrid w:val="0"/>
                <w:kern w:val="0"/>
                <w:sz w:val="24"/>
              </w:rPr>
              <w:t>9</w:t>
            </w:r>
          </w:p>
        </w:tc>
        <w:tc>
          <w:tcPr>
            <w:tcW w:w="2112" w:type="pct"/>
            <w:vAlign w:val="center"/>
          </w:tcPr>
          <w:p w14:paraId="5B291DFA">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其他</w:t>
            </w:r>
          </w:p>
        </w:tc>
        <w:tc>
          <w:tcPr>
            <w:tcW w:w="2462" w:type="pct"/>
          </w:tcPr>
          <w:p w14:paraId="0315811C">
            <w:pPr>
              <w:widowControl/>
              <w:autoSpaceDE w:val="0"/>
              <w:autoSpaceDN w:val="0"/>
              <w:adjustRightInd w:val="0"/>
              <w:snapToGrid w:val="0"/>
              <w:spacing w:line="360" w:lineRule="auto"/>
              <w:jc w:val="left"/>
              <w:rPr>
                <w:rFonts w:ascii="仿宋" w:hAnsi="仿宋" w:eastAsia="仿宋" w:cs="宋体"/>
                <w:snapToGrid w:val="0"/>
                <w:kern w:val="0"/>
                <w:sz w:val="24"/>
              </w:rPr>
            </w:pPr>
            <w:r>
              <w:rPr>
                <w:rFonts w:hint="eastAsia" w:ascii="仿宋" w:hAnsi="仿宋" w:eastAsia="仿宋" w:cs="宋体"/>
                <w:snapToGrid w:val="0"/>
                <w:kern w:val="0"/>
                <w:sz w:val="24"/>
              </w:rPr>
              <w:t>无</w:t>
            </w:r>
          </w:p>
        </w:tc>
      </w:tr>
    </w:tbl>
    <w:p w14:paraId="331FF058">
      <w:pPr>
        <w:pStyle w:val="5"/>
        <w:ind w:firstLine="0" w:firstLineChars="0"/>
        <w:rPr>
          <w:rFonts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9E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193C11">
                          <w:pPr>
                            <w:pStyle w:val="8"/>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22</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v:fill on="f" focussize="0,0"/>
              <v:stroke on="f"/>
              <v:imagedata o:title=""/>
              <o:lock v:ext="edit" aspectratio="f"/>
              <v:textbox inset="0mm,0mm,0mm,0mm" style="mso-fit-shape-to-text:t;">
                <w:txbxContent>
                  <w:p w14:paraId="08193C11">
                    <w:pPr>
                      <w:pStyle w:val="8"/>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22</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C84C7"/>
    <w:multiLevelType w:val="singleLevel"/>
    <w:tmpl w:val="93DC84C7"/>
    <w:lvl w:ilvl="0" w:tentative="0">
      <w:start w:val="1"/>
      <w:numFmt w:val="decimalEnclosedCircleChinese"/>
      <w:suff w:val="nothing"/>
      <w:lvlText w:val="%1　"/>
      <w:lvlJc w:val="left"/>
      <w:pPr>
        <w:ind w:left="0" w:firstLine="400"/>
      </w:pPr>
      <w:rPr>
        <w:rFonts w:hint="eastAsia"/>
      </w:rPr>
    </w:lvl>
  </w:abstractNum>
  <w:abstractNum w:abstractNumId="1">
    <w:nsid w:val="B16D2325"/>
    <w:multiLevelType w:val="singleLevel"/>
    <w:tmpl w:val="B16D2325"/>
    <w:lvl w:ilvl="0" w:tentative="0">
      <w:start w:val="1"/>
      <w:numFmt w:val="decimal"/>
      <w:lvlText w:val="(%1)"/>
      <w:lvlJc w:val="left"/>
      <w:pPr>
        <w:ind w:left="425" w:hanging="425"/>
      </w:pPr>
      <w:rPr>
        <w:rFonts w:hint="default"/>
      </w:rPr>
    </w:lvl>
  </w:abstractNum>
  <w:abstractNum w:abstractNumId="2">
    <w:nsid w:val="D6A08CE9"/>
    <w:multiLevelType w:val="singleLevel"/>
    <w:tmpl w:val="D6A08CE9"/>
    <w:lvl w:ilvl="0" w:tentative="0">
      <w:start w:val="1"/>
      <w:numFmt w:val="decimalEnclosedCircleChinese"/>
      <w:suff w:val="nothing"/>
      <w:lvlText w:val="%1　"/>
      <w:lvlJc w:val="left"/>
      <w:pPr>
        <w:ind w:left="0" w:firstLine="400"/>
      </w:pPr>
      <w:rPr>
        <w:rFonts w:hint="eastAsia"/>
      </w:rPr>
    </w:lvl>
  </w:abstractNum>
  <w:abstractNum w:abstractNumId="3">
    <w:nsid w:val="E81F99AA"/>
    <w:multiLevelType w:val="singleLevel"/>
    <w:tmpl w:val="E81F99AA"/>
    <w:lvl w:ilvl="0" w:tentative="0">
      <w:start w:val="4"/>
      <w:numFmt w:val="chineseCounting"/>
      <w:suff w:val="nothing"/>
      <w:lvlText w:val="%1、"/>
      <w:lvlJc w:val="left"/>
      <w:rPr>
        <w:rFonts w:hint="eastAsia"/>
      </w:rPr>
    </w:lvl>
  </w:abstractNum>
  <w:abstractNum w:abstractNumId="4">
    <w:nsid w:val="3B605A26"/>
    <w:multiLevelType w:val="singleLevel"/>
    <w:tmpl w:val="3B605A26"/>
    <w:lvl w:ilvl="0" w:tentative="0">
      <w:start w:val="1"/>
      <w:numFmt w:val="decimal"/>
      <w:lvlText w:val="(%1)"/>
      <w:lvlJc w:val="left"/>
      <w:pPr>
        <w:ind w:left="425" w:hanging="425"/>
      </w:pPr>
      <w:rPr>
        <w:rFonts w:hint="default"/>
      </w:rPr>
    </w:lvl>
  </w:abstractNum>
  <w:abstractNum w:abstractNumId="5">
    <w:nsid w:val="3CC468FB"/>
    <w:multiLevelType w:val="singleLevel"/>
    <w:tmpl w:val="3CC468FB"/>
    <w:lvl w:ilvl="0" w:tentative="0">
      <w:start w:val="1"/>
      <w:numFmt w:val="decimal"/>
      <w:lvlText w:val="(%1)"/>
      <w:lvlJc w:val="left"/>
      <w:pPr>
        <w:ind w:left="425" w:hanging="425"/>
      </w:pPr>
      <w:rPr>
        <w:rFonts w:hint="default"/>
      </w:rPr>
    </w:lvl>
  </w:abstractNum>
  <w:abstractNum w:abstractNumId="6">
    <w:nsid w:val="3CFF5567"/>
    <w:multiLevelType w:val="singleLevel"/>
    <w:tmpl w:val="3CFF5567"/>
    <w:lvl w:ilvl="0" w:tentative="0">
      <w:start w:val="1"/>
      <w:numFmt w:val="decimalEnclosedCircleChinese"/>
      <w:suff w:val="nothing"/>
      <w:lvlText w:val="%1　"/>
      <w:lvlJc w:val="left"/>
      <w:pPr>
        <w:ind w:left="0" w:firstLine="400"/>
      </w:pPr>
      <w:rPr>
        <w:rFonts w:hint="eastAsia"/>
      </w:rPr>
    </w:lvl>
  </w:abstractNum>
  <w:abstractNum w:abstractNumId="7">
    <w:nsid w:val="55DF67B9"/>
    <w:multiLevelType w:val="singleLevel"/>
    <w:tmpl w:val="55DF67B9"/>
    <w:lvl w:ilvl="0" w:tentative="0">
      <w:start w:val="1"/>
      <w:numFmt w:val="decimal"/>
      <w:lvlText w:val="(%1)"/>
      <w:lvlJc w:val="left"/>
      <w:pPr>
        <w:ind w:left="425" w:hanging="425"/>
      </w:pPr>
      <w:rPr>
        <w:rFonts w:hint="default"/>
      </w:rPr>
    </w:lvl>
  </w:abstractNum>
  <w:abstractNum w:abstractNumId="8">
    <w:nsid w:val="5CBB42ED"/>
    <w:multiLevelType w:val="singleLevel"/>
    <w:tmpl w:val="5CBB42E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7"/>
  </w:num>
  <w:num w:numId="3">
    <w:abstractNumId w:val="8"/>
  </w:num>
  <w:num w:numId="4">
    <w:abstractNumId w:val="0"/>
  </w:num>
  <w:num w:numId="5">
    <w:abstractNumId w:val="2"/>
  </w:num>
  <w:num w:numId="6">
    <w:abstractNumId w:val="6"/>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jVhYjZmZjE3MTdmNDZjMDZjODgwMjA2MWMzZjcifQ=="/>
  </w:docVars>
  <w:rsids>
    <w:rsidRoot w:val="2B8D79DE"/>
    <w:rsid w:val="00030FE2"/>
    <w:rsid w:val="000A267E"/>
    <w:rsid w:val="000B6D36"/>
    <w:rsid w:val="001A548C"/>
    <w:rsid w:val="001F6F11"/>
    <w:rsid w:val="003264D6"/>
    <w:rsid w:val="00367EDA"/>
    <w:rsid w:val="003E3FB1"/>
    <w:rsid w:val="00441209"/>
    <w:rsid w:val="00476453"/>
    <w:rsid w:val="004A790F"/>
    <w:rsid w:val="004E3BB2"/>
    <w:rsid w:val="00527718"/>
    <w:rsid w:val="005420E5"/>
    <w:rsid w:val="00556802"/>
    <w:rsid w:val="00595925"/>
    <w:rsid w:val="0063134A"/>
    <w:rsid w:val="00666DC4"/>
    <w:rsid w:val="006965A7"/>
    <w:rsid w:val="0072755E"/>
    <w:rsid w:val="00753FD6"/>
    <w:rsid w:val="007D676F"/>
    <w:rsid w:val="00864D85"/>
    <w:rsid w:val="00873F47"/>
    <w:rsid w:val="008762EC"/>
    <w:rsid w:val="008831A2"/>
    <w:rsid w:val="008D3587"/>
    <w:rsid w:val="00943570"/>
    <w:rsid w:val="009553F9"/>
    <w:rsid w:val="009616ED"/>
    <w:rsid w:val="00A25B6E"/>
    <w:rsid w:val="00A3418C"/>
    <w:rsid w:val="00A348F8"/>
    <w:rsid w:val="00A72559"/>
    <w:rsid w:val="00AA2D10"/>
    <w:rsid w:val="00AA2EA9"/>
    <w:rsid w:val="00B07818"/>
    <w:rsid w:val="00B54114"/>
    <w:rsid w:val="00B80393"/>
    <w:rsid w:val="00C418A6"/>
    <w:rsid w:val="00C42079"/>
    <w:rsid w:val="00C50F11"/>
    <w:rsid w:val="00C70B91"/>
    <w:rsid w:val="00D15067"/>
    <w:rsid w:val="00E14492"/>
    <w:rsid w:val="00F245C0"/>
    <w:rsid w:val="00F64F10"/>
    <w:rsid w:val="00FB364B"/>
    <w:rsid w:val="041F054D"/>
    <w:rsid w:val="0C09068F"/>
    <w:rsid w:val="0C8F574A"/>
    <w:rsid w:val="12437AFC"/>
    <w:rsid w:val="2002442B"/>
    <w:rsid w:val="24DC17AB"/>
    <w:rsid w:val="251D1F57"/>
    <w:rsid w:val="2B8D79DE"/>
    <w:rsid w:val="3915496F"/>
    <w:rsid w:val="41895C81"/>
    <w:rsid w:val="486D0780"/>
    <w:rsid w:val="52522E68"/>
    <w:rsid w:val="5A886D08"/>
    <w:rsid w:val="6DA42337"/>
    <w:rsid w:val="713003C1"/>
    <w:rsid w:val="77936532"/>
    <w:rsid w:val="7AA7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6"/>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next w:val="1"/>
    <w:link w:val="17"/>
    <w:autoRedefine/>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7">
    <w:name w:val="Body Text Indent"/>
    <w:basedOn w:val="1"/>
    <w:link w:val="22"/>
    <w:qFormat/>
    <w:uiPriority w:val="0"/>
    <w:pPr>
      <w:spacing w:after="120"/>
      <w:ind w:left="420" w:leftChars="200"/>
    </w:pPr>
    <w:rPr>
      <w:rFonts w:ascii="Calibri" w:hAnsi="Calibri" w:eastAsia="宋体" w:cs="Times New Roman"/>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1">
    <w:name w:val="Body Text First Indent"/>
    <w:basedOn w:val="6"/>
    <w:link w:val="21"/>
    <w:qFormat/>
    <w:uiPriority w:val="0"/>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2">
    <w:name w:val="Body Text First Indent 2"/>
    <w:basedOn w:val="7"/>
    <w:link w:val="23"/>
    <w:qFormat/>
    <w:uiPriority w:val="0"/>
    <w:pPr>
      <w:ind w:firstLine="420" w:firstLineChars="200"/>
    </w:p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标题 5 Char"/>
    <w:basedOn w:val="15"/>
    <w:link w:val="4"/>
    <w:qFormat/>
    <w:uiPriority w:val="1"/>
    <w:rPr>
      <w:rFonts w:ascii="宋体" w:hAnsi="宋体" w:eastAsia="宋体" w:cs="宋体"/>
      <w:b/>
      <w:bCs/>
      <w:sz w:val="19"/>
      <w:szCs w:val="19"/>
      <w:lang w:val="zh-CN" w:bidi="zh-CN"/>
    </w:rPr>
  </w:style>
  <w:style w:type="character" w:customStyle="1" w:styleId="17">
    <w:name w:val="正文文本 Char"/>
    <w:basedOn w:val="15"/>
    <w:link w:val="6"/>
    <w:qFormat/>
    <w:uiPriority w:val="1"/>
    <w:rPr>
      <w:rFonts w:ascii="仿宋" w:hAnsi="仿宋" w:eastAsia="仿宋" w:cs="宋体"/>
      <w:sz w:val="24"/>
      <w:szCs w:val="24"/>
      <w:lang w:bidi="zh-CN"/>
    </w:rPr>
  </w:style>
  <w:style w:type="character" w:customStyle="1" w:styleId="18">
    <w:name w:val="页眉 Char"/>
    <w:basedOn w:val="15"/>
    <w:link w:val="9"/>
    <w:qFormat/>
    <w:uiPriority w:val="0"/>
    <w:rPr>
      <w:kern w:val="2"/>
      <w:sz w:val="18"/>
      <w:szCs w:val="18"/>
    </w:rPr>
  </w:style>
  <w:style w:type="character" w:customStyle="1" w:styleId="19">
    <w:name w:val="页脚 Char"/>
    <w:basedOn w:val="15"/>
    <w:link w:val="8"/>
    <w:qFormat/>
    <w:uiPriority w:val="0"/>
    <w:rPr>
      <w:kern w:val="2"/>
      <w:sz w:val="18"/>
      <w:szCs w:val="18"/>
    </w:rPr>
  </w:style>
  <w:style w:type="character" w:customStyle="1" w:styleId="20">
    <w:name w:val="标题 2 Char"/>
    <w:basedOn w:val="15"/>
    <w:link w:val="3"/>
    <w:semiHidden/>
    <w:qFormat/>
    <w:uiPriority w:val="0"/>
    <w:rPr>
      <w:rFonts w:asciiTheme="majorHAnsi" w:hAnsiTheme="majorHAnsi" w:eastAsiaTheme="majorEastAsia" w:cstheme="majorBidi"/>
      <w:b/>
      <w:bCs/>
      <w:kern w:val="2"/>
      <w:sz w:val="32"/>
      <w:szCs w:val="32"/>
    </w:rPr>
  </w:style>
  <w:style w:type="character" w:customStyle="1" w:styleId="21">
    <w:name w:val="正文首行缩进 Char"/>
    <w:basedOn w:val="17"/>
    <w:link w:val="11"/>
    <w:qFormat/>
    <w:uiPriority w:val="0"/>
    <w:rPr>
      <w:rFonts w:ascii="仿宋" w:hAnsi="仿宋" w:eastAsia="仿宋" w:cs="宋体"/>
      <w:kern w:val="2"/>
      <w:sz w:val="21"/>
      <w:szCs w:val="24"/>
      <w:lang w:bidi="zh-CN"/>
    </w:rPr>
  </w:style>
  <w:style w:type="character" w:customStyle="1" w:styleId="22">
    <w:name w:val="正文文本缩进 Char"/>
    <w:basedOn w:val="15"/>
    <w:link w:val="7"/>
    <w:qFormat/>
    <w:uiPriority w:val="0"/>
    <w:rPr>
      <w:rFonts w:ascii="Calibri" w:hAnsi="Calibri" w:eastAsia="宋体" w:cs="Times New Roman"/>
      <w:kern w:val="2"/>
      <w:sz w:val="21"/>
      <w:szCs w:val="24"/>
    </w:rPr>
  </w:style>
  <w:style w:type="character" w:customStyle="1" w:styleId="23">
    <w:name w:val="正文首行缩进 2 Char"/>
    <w:basedOn w:val="22"/>
    <w:link w:val="12"/>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8013</Words>
  <Characters>8347</Characters>
  <Lines>63</Lines>
  <Paragraphs>17</Paragraphs>
  <TotalTime>7</TotalTime>
  <ScaleCrop>false</ScaleCrop>
  <LinksUpToDate>false</LinksUpToDate>
  <CharactersWithSpaces>8481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2024-09-19T01:15:00Z</dcterms:created>
  <dc:creator>廖艺齐</dc:creator>
  <cp:lastModifiedBy>N</cp:lastModifiedBy>
  <dcterms:modified xsi:type="dcterms:W3CDTF">2025-10-29T09:20:03Z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BFBFA1AB049549F1ACBF81FB6649D15D_13</vt:lpwstr>
  </property>
  <property fmtid="{D5CDD505-2E9C-101B-9397-08002B2CF9AE}" pid="4" name="KSOTemplateDocerSaveRecord">
    <vt:lpwstr>eyJoZGlkIjoiNGNjOTViYzllNGEyZjNjMjhlNTM5YWVmY2UxNTNhYjgiLCJ1c2VySWQiOiIyODc4NDg0MTkifQ==</vt:lpwstr>
  </property>
</Properties>
</file>